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727" w:rsidRPr="000C2FFD" w:rsidRDefault="00D07727" w:rsidP="00071361">
      <w:pPr>
        <w:widowControl w:val="0"/>
        <w:tabs>
          <w:tab w:val="left" w:pos="851"/>
        </w:tabs>
        <w:spacing w:before="100" w:beforeAutospacing="1" w:after="100" w:afterAutospacing="1" w:line="360" w:lineRule="auto"/>
        <w:ind w:right="-164"/>
        <w:jc w:val="both"/>
        <w:rPr>
          <w:rFonts w:ascii="Palatino Linotype" w:eastAsia="Calibri" w:hAnsi="Palatino Linotype" w:cs="Arial"/>
          <w:b/>
          <w:color w:val="000000"/>
        </w:rPr>
      </w:pPr>
      <w:r w:rsidRPr="00E91339">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A617A4">
        <w:rPr>
          <w:rFonts w:ascii="Palatino Linotype" w:hAnsi="Palatino Linotype" w:cs="Arial"/>
          <w:b/>
        </w:rPr>
        <w:t>CUADRAGÉSIMA</w:t>
      </w:r>
      <w:r w:rsidR="000C2FFD">
        <w:rPr>
          <w:rFonts w:ascii="Palatino Linotype" w:hAnsi="Palatino Linotype" w:cs="Arial"/>
          <w:b/>
        </w:rPr>
        <w:t xml:space="preserve"> </w:t>
      </w:r>
      <w:r w:rsidR="005B42CA">
        <w:rPr>
          <w:rFonts w:ascii="Palatino Linotype" w:hAnsi="Palatino Linotype" w:cs="Arial"/>
          <w:b/>
        </w:rPr>
        <w:t xml:space="preserve">TERCERA </w:t>
      </w:r>
      <w:r w:rsidRPr="00E91339">
        <w:rPr>
          <w:rFonts w:ascii="Palatino Linotype" w:hAnsi="Palatino Linotype" w:cs="Arial"/>
          <w:b/>
        </w:rPr>
        <w:t xml:space="preserve">SESIÓN ORDINARIA DE </w:t>
      </w:r>
      <w:r w:rsidR="005B42CA">
        <w:rPr>
          <w:rFonts w:ascii="Palatino Linotype" w:hAnsi="Palatino Linotype" w:cs="Arial"/>
          <w:b/>
        </w:rPr>
        <w:t>VEINTIDÓS</w:t>
      </w:r>
      <w:r w:rsidR="00A617A4">
        <w:rPr>
          <w:rFonts w:ascii="Palatino Linotype" w:hAnsi="Palatino Linotype" w:cs="Arial"/>
          <w:b/>
        </w:rPr>
        <w:t xml:space="preserve"> </w:t>
      </w:r>
      <w:r w:rsidRPr="00E91339">
        <w:rPr>
          <w:rFonts w:ascii="Palatino Linotype" w:hAnsi="Palatino Linotype" w:cs="Arial"/>
          <w:b/>
        </w:rPr>
        <w:t xml:space="preserve">DE </w:t>
      </w:r>
      <w:r w:rsidR="005B42CA">
        <w:rPr>
          <w:rFonts w:ascii="Palatino Linotype" w:hAnsi="Palatino Linotype" w:cs="Arial"/>
          <w:b/>
        </w:rPr>
        <w:t xml:space="preserve">NOVIEMBRE </w:t>
      </w:r>
      <w:r w:rsidRPr="00E91339">
        <w:rPr>
          <w:rFonts w:ascii="Palatino Linotype" w:hAnsi="Palatino Linotype" w:cs="Arial"/>
          <w:b/>
        </w:rPr>
        <w:t>DE DOS MIL DIECIOCHO,</w:t>
      </w:r>
      <w:r w:rsidR="000C2FFD">
        <w:rPr>
          <w:rFonts w:ascii="Palatino Linotype" w:hAnsi="Palatino Linotype" w:cs="Arial"/>
          <w:b/>
        </w:rPr>
        <w:t xml:space="preserve"> EN </w:t>
      </w:r>
      <w:r w:rsidR="00A617A4">
        <w:rPr>
          <w:rFonts w:ascii="Palatino Linotype" w:hAnsi="Palatino Linotype" w:cs="Arial"/>
          <w:b/>
        </w:rPr>
        <w:t>EL</w:t>
      </w:r>
      <w:r w:rsidR="00604F1B" w:rsidRPr="00E91339">
        <w:rPr>
          <w:rFonts w:ascii="Palatino Linotype" w:hAnsi="Palatino Linotype" w:cs="Arial"/>
          <w:b/>
        </w:rPr>
        <w:t xml:space="preserve"> RECURSO</w:t>
      </w:r>
      <w:r w:rsidR="000C2FFD">
        <w:rPr>
          <w:rFonts w:ascii="Palatino Linotype" w:hAnsi="Palatino Linotype" w:cs="Arial"/>
          <w:b/>
        </w:rPr>
        <w:t xml:space="preserve"> DE REVISIÓN </w:t>
      </w:r>
      <w:r w:rsidR="005B42CA">
        <w:rPr>
          <w:rFonts w:ascii="Palatino Linotype" w:hAnsi="Palatino Linotype" w:cs="Arial"/>
          <w:b/>
          <w:bCs/>
        </w:rPr>
        <w:t>03684</w:t>
      </w:r>
      <w:r w:rsidR="00A617A4">
        <w:rPr>
          <w:rFonts w:ascii="Palatino Linotype" w:hAnsi="Palatino Linotype" w:cs="Arial"/>
          <w:b/>
          <w:bCs/>
        </w:rPr>
        <w:t>/INFOEM/IP</w:t>
      </w:r>
      <w:r w:rsidR="000C2FFD" w:rsidRPr="000C2FFD">
        <w:rPr>
          <w:rFonts w:ascii="Palatino Linotype" w:hAnsi="Palatino Linotype" w:cs="Arial"/>
          <w:b/>
          <w:bCs/>
        </w:rPr>
        <w:t>/RR/2018</w:t>
      </w:r>
      <w:r w:rsidR="000C2FFD">
        <w:rPr>
          <w:rFonts w:ascii="Palatino Linotype" w:hAnsi="Palatino Linotype" w:cs="Arial"/>
          <w:b/>
          <w:bCs/>
        </w:rPr>
        <w:t xml:space="preserve">. </w:t>
      </w:r>
    </w:p>
    <w:p w:rsidR="00D07727" w:rsidRDefault="00D07727" w:rsidP="00071361">
      <w:pPr>
        <w:spacing w:before="100" w:beforeAutospacing="1" w:after="100" w:afterAutospacing="1" w:line="360" w:lineRule="auto"/>
        <w:jc w:val="both"/>
        <w:rPr>
          <w:rFonts w:ascii="Palatino Linotype" w:hAnsi="Palatino Linotype" w:cs="Arial"/>
        </w:rPr>
      </w:pPr>
      <w:r w:rsidRPr="00E91339">
        <w:rPr>
          <w:rFonts w:ascii="Palatino Linotype" w:hAnsi="Palatino Linotype" w:cs="Arial"/>
        </w:rPr>
        <w:t>Con fundamento en lo dispuesto por el artículo 14</w:t>
      </w:r>
      <w:r w:rsidR="000C2FFD">
        <w:rPr>
          <w:rFonts w:ascii="Palatino Linotype" w:hAnsi="Palatino Linotype" w:cs="Arial"/>
        </w:rPr>
        <w:t>,</w:t>
      </w:r>
      <w:r w:rsidRPr="00E91339">
        <w:rPr>
          <w:rFonts w:ascii="Palatino Linotype" w:hAnsi="Palatino Linotype" w:cs="Arial"/>
        </w:rPr>
        <w:t xml:space="preserve"> fracciones X y XI del Reglamento Interior del Instituto de Transparencia, Acceso a la Información Pública y Protección de Datos Personales del Estado de México y Municipios, la que suscribe</w:t>
      </w:r>
      <w:r w:rsidRPr="00E91339">
        <w:rPr>
          <w:rFonts w:ascii="Palatino Linotype" w:hAnsi="Palatino Linotype" w:cs="Arial"/>
          <w:b/>
          <w:lang w:val="es-ES_tradnl"/>
        </w:rPr>
        <w:t xml:space="preserve"> </w:t>
      </w:r>
      <w:r w:rsidRPr="00E91339">
        <w:rPr>
          <w:rFonts w:ascii="Palatino Linotype" w:hAnsi="Palatino Linotype" w:cs="Arial"/>
          <w:b/>
        </w:rPr>
        <w:t xml:space="preserve">EVA ABAID YAPUR </w:t>
      </w:r>
      <w:r w:rsidRPr="00E91339">
        <w:rPr>
          <w:rFonts w:ascii="Palatino Linotype" w:hAnsi="Palatino Linotype" w:cs="Arial"/>
        </w:rPr>
        <w:t xml:space="preserve">emite </w:t>
      </w:r>
      <w:r w:rsidRPr="00E91339">
        <w:rPr>
          <w:rFonts w:ascii="Palatino Linotype" w:hAnsi="Palatino Linotype" w:cs="Arial"/>
          <w:b/>
        </w:rPr>
        <w:t xml:space="preserve">VOTO PARTICULAR </w:t>
      </w:r>
      <w:r w:rsidRPr="00E91339">
        <w:rPr>
          <w:rFonts w:ascii="Palatino Linotype" w:hAnsi="Palatino Linotype" w:cs="Arial"/>
        </w:rPr>
        <w:t>respec</w:t>
      </w:r>
      <w:r w:rsidR="00A617A4">
        <w:rPr>
          <w:rFonts w:ascii="Palatino Linotype" w:hAnsi="Palatino Linotype" w:cs="Arial"/>
        </w:rPr>
        <w:t xml:space="preserve">to de la resolución dictada en el </w:t>
      </w:r>
      <w:r w:rsidRPr="00E91339">
        <w:rPr>
          <w:rFonts w:ascii="Palatino Linotype" w:hAnsi="Palatino Linotype" w:cs="Arial"/>
        </w:rPr>
        <w:t xml:space="preserve">recurso de revisión </w:t>
      </w:r>
      <w:r w:rsidRPr="00E91339">
        <w:rPr>
          <w:rFonts w:ascii="Palatino Linotype" w:eastAsia="Calibri" w:hAnsi="Palatino Linotype" w:cs="Arial"/>
          <w:b/>
          <w:color w:val="000000"/>
        </w:rPr>
        <w:t>0</w:t>
      </w:r>
      <w:r w:rsidR="005B42CA">
        <w:rPr>
          <w:rFonts w:ascii="Palatino Linotype" w:eastAsia="Calibri" w:hAnsi="Palatino Linotype" w:cs="Arial"/>
          <w:b/>
          <w:color w:val="000000"/>
        </w:rPr>
        <w:t>3684</w:t>
      </w:r>
      <w:r w:rsidR="00A617A4">
        <w:rPr>
          <w:rFonts w:ascii="Palatino Linotype" w:eastAsia="Calibri" w:hAnsi="Palatino Linotype" w:cs="Arial"/>
          <w:b/>
          <w:color w:val="000000"/>
        </w:rPr>
        <w:t>/INFOEM/IP</w:t>
      </w:r>
      <w:r w:rsidRPr="00E91339">
        <w:rPr>
          <w:rFonts w:ascii="Palatino Linotype" w:eastAsia="Calibri" w:hAnsi="Palatino Linotype" w:cs="Arial"/>
          <w:b/>
          <w:color w:val="000000"/>
        </w:rPr>
        <w:t>/RR/201</w:t>
      </w:r>
      <w:r w:rsidR="00620028" w:rsidRPr="00E91339">
        <w:rPr>
          <w:rFonts w:ascii="Palatino Linotype" w:eastAsia="Calibri" w:hAnsi="Palatino Linotype" w:cs="Arial"/>
          <w:b/>
          <w:color w:val="000000"/>
        </w:rPr>
        <w:t>8</w:t>
      </w:r>
      <w:r w:rsidRPr="00E91339">
        <w:rPr>
          <w:rFonts w:ascii="Palatino Linotype" w:hAnsi="Palatino Linotype" w:cs="Arial"/>
        </w:rPr>
        <w:t xml:space="preserve">, pronunciada por el Pleno de este Instituto ante el proyecto presentado por </w:t>
      </w:r>
      <w:r w:rsidR="00AE5291" w:rsidRPr="00E91339">
        <w:rPr>
          <w:rFonts w:ascii="Palatino Linotype" w:hAnsi="Palatino Linotype" w:cs="Arial"/>
        </w:rPr>
        <w:t>el</w:t>
      </w:r>
      <w:r w:rsidRPr="00E91339">
        <w:rPr>
          <w:rFonts w:ascii="Palatino Linotype" w:hAnsi="Palatino Linotype" w:cs="Arial"/>
        </w:rPr>
        <w:t xml:space="preserve"> Comisionad</w:t>
      </w:r>
      <w:r w:rsidR="00AE5291" w:rsidRPr="00E91339">
        <w:rPr>
          <w:rFonts w:ascii="Palatino Linotype" w:hAnsi="Palatino Linotype" w:cs="Arial"/>
        </w:rPr>
        <w:t>o</w:t>
      </w:r>
      <w:r w:rsidRPr="00E91339">
        <w:rPr>
          <w:rFonts w:ascii="Palatino Linotype" w:hAnsi="Palatino Linotype" w:cs="Arial"/>
        </w:rPr>
        <w:t xml:space="preserve"> </w:t>
      </w:r>
      <w:r w:rsidR="005B42CA">
        <w:rPr>
          <w:rFonts w:ascii="Palatino Linotype" w:hAnsi="Palatino Linotype" w:cs="Arial"/>
          <w:b/>
        </w:rPr>
        <w:t>JAVIER MARTÍNEZ CRUZ</w:t>
      </w:r>
      <w:r w:rsidRPr="00E91339">
        <w:rPr>
          <w:rFonts w:ascii="Palatino Linotype" w:hAnsi="Palatino Linotype" w:cs="Arial"/>
        </w:rPr>
        <w:t>, que es del tenor siguiente.</w:t>
      </w:r>
    </w:p>
    <w:p w:rsidR="005C42C0" w:rsidRDefault="00D07727" w:rsidP="00A617A4">
      <w:pPr>
        <w:spacing w:before="100" w:beforeAutospacing="1" w:after="100" w:afterAutospacing="1" w:line="360" w:lineRule="auto"/>
        <w:jc w:val="both"/>
        <w:rPr>
          <w:rFonts w:ascii="Palatino Linotype" w:hAnsi="Palatino Linotype"/>
        </w:rPr>
      </w:pPr>
      <w:r w:rsidRPr="00E91339">
        <w:rPr>
          <w:rFonts w:ascii="Palatino Linotype" w:hAnsi="Palatino Linotype"/>
        </w:rPr>
        <w:t>En primer término, es de señalar como quedó debidamente asentado en la resolución materia del presente voto</w:t>
      </w:r>
      <w:r w:rsidR="00123874">
        <w:rPr>
          <w:rFonts w:ascii="Palatino Linotype" w:hAnsi="Palatino Linotype"/>
        </w:rPr>
        <w:t xml:space="preserve"> que</w:t>
      </w:r>
      <w:r w:rsidR="00620028" w:rsidRPr="00E91339">
        <w:rPr>
          <w:rFonts w:ascii="Palatino Linotype" w:hAnsi="Palatino Linotype"/>
        </w:rPr>
        <w:t xml:space="preserve"> </w:t>
      </w:r>
      <w:r w:rsidR="000C2FFD">
        <w:rPr>
          <w:rFonts w:ascii="Palatino Linotype" w:hAnsi="Palatino Linotype"/>
        </w:rPr>
        <w:t>el</w:t>
      </w:r>
      <w:r w:rsidRPr="00E91339">
        <w:rPr>
          <w:rFonts w:ascii="Palatino Linotype" w:hAnsi="Palatino Linotype"/>
        </w:rPr>
        <w:t xml:space="preserve"> particular requirió a</w:t>
      </w:r>
      <w:r w:rsidR="000C2FFD">
        <w:rPr>
          <w:rFonts w:ascii="Palatino Linotype" w:hAnsi="Palatino Linotype"/>
        </w:rPr>
        <w:t>l</w:t>
      </w:r>
      <w:r w:rsidR="00AE5291" w:rsidRPr="00E91339">
        <w:rPr>
          <w:rFonts w:ascii="Palatino Linotype" w:hAnsi="Palatino Linotype"/>
        </w:rPr>
        <w:t xml:space="preserve"> </w:t>
      </w:r>
      <w:r w:rsidR="00A617A4">
        <w:rPr>
          <w:rFonts w:ascii="Palatino Linotype" w:hAnsi="Palatino Linotype"/>
          <w:b/>
        </w:rPr>
        <w:t xml:space="preserve">Ayuntamiento de </w:t>
      </w:r>
      <w:r w:rsidR="005B42CA">
        <w:rPr>
          <w:rFonts w:ascii="Palatino Linotype" w:hAnsi="Palatino Linotype"/>
          <w:b/>
        </w:rPr>
        <w:t>Valle de Chalco Solidaridad</w:t>
      </w:r>
      <w:r w:rsidR="004605B4" w:rsidRPr="00E91339">
        <w:rPr>
          <w:rFonts w:ascii="Palatino Linotype" w:hAnsi="Palatino Linotype"/>
        </w:rPr>
        <w:t xml:space="preserve">, en lo sucesivo </w:t>
      </w:r>
      <w:r w:rsidR="004605B4" w:rsidRPr="00E91339">
        <w:rPr>
          <w:rFonts w:ascii="Palatino Linotype" w:hAnsi="Palatino Linotype"/>
          <w:b/>
        </w:rPr>
        <w:t xml:space="preserve">EL </w:t>
      </w:r>
      <w:r w:rsidR="00757442" w:rsidRPr="00E91339">
        <w:rPr>
          <w:rFonts w:ascii="Palatino Linotype" w:hAnsi="Palatino Linotype"/>
          <w:b/>
        </w:rPr>
        <w:t xml:space="preserve">SUJETO OBLIGADO, </w:t>
      </w:r>
      <w:r w:rsidR="005C42C0">
        <w:rPr>
          <w:rFonts w:ascii="Palatino Linotype" w:hAnsi="Palatino Linotype"/>
        </w:rPr>
        <w:t>información</w:t>
      </w:r>
      <w:r w:rsidR="00E73E59">
        <w:rPr>
          <w:rFonts w:ascii="Palatino Linotype" w:hAnsi="Palatino Linotype"/>
        </w:rPr>
        <w:t xml:space="preserve"> referente al cumplimiento del </w:t>
      </w:r>
      <w:r w:rsidR="00E73E59" w:rsidRPr="00E73E59">
        <w:rPr>
          <w:rFonts w:ascii="Palatino Linotype" w:hAnsi="Palatino Linotype"/>
        </w:rPr>
        <w:t>recurso de revisión 00979/INFOEM/IP/RR/2017</w:t>
      </w:r>
      <w:r w:rsidR="00E73E59">
        <w:rPr>
          <w:rFonts w:ascii="Palatino Linotype" w:hAnsi="Palatino Linotype"/>
        </w:rPr>
        <w:t xml:space="preserve">, tal y como se </w:t>
      </w:r>
      <w:r w:rsidR="005C42C0">
        <w:rPr>
          <w:rFonts w:ascii="Palatino Linotype" w:hAnsi="Palatino Linotype"/>
        </w:rPr>
        <w:t>desagrega</w:t>
      </w:r>
      <w:r w:rsidR="00E73E59">
        <w:rPr>
          <w:rFonts w:ascii="Palatino Linotype" w:hAnsi="Palatino Linotype"/>
        </w:rPr>
        <w:t xml:space="preserve"> de tal manera</w:t>
      </w:r>
      <w:r w:rsidR="005C42C0">
        <w:rPr>
          <w:rFonts w:ascii="Palatino Linotype" w:hAnsi="Palatino Linotype"/>
        </w:rPr>
        <w:t xml:space="preserve">: </w:t>
      </w:r>
    </w:p>
    <w:p w:rsidR="005C42C0" w:rsidRPr="00123874" w:rsidRDefault="005C42C0" w:rsidP="005C42C0">
      <w:pPr>
        <w:spacing w:before="120" w:after="120"/>
        <w:ind w:left="851" w:right="899"/>
        <w:jc w:val="both"/>
        <w:rPr>
          <w:rFonts w:ascii="Palatino Linotype" w:hAnsi="Palatino Linotype"/>
          <w:i/>
          <w:sz w:val="22"/>
          <w:lang w:eastAsia="es-MX"/>
        </w:rPr>
      </w:pPr>
      <w:r w:rsidRPr="00123874">
        <w:rPr>
          <w:rFonts w:ascii="Palatino Linotype" w:hAnsi="Palatino Linotype"/>
          <w:i/>
          <w:sz w:val="22"/>
        </w:rPr>
        <w:t>a)</w:t>
      </w:r>
      <w:r w:rsidRPr="00123874">
        <w:rPr>
          <w:rFonts w:ascii="Palatino Linotype" w:hAnsi="Palatino Linotype"/>
          <w:sz w:val="22"/>
        </w:rPr>
        <w:t xml:space="preserve"> </w:t>
      </w:r>
      <w:r w:rsidRPr="00123874">
        <w:rPr>
          <w:rFonts w:ascii="Palatino Linotype" w:hAnsi="Palatino Linotype"/>
          <w:i/>
          <w:sz w:val="22"/>
          <w:lang w:eastAsia="es-MX"/>
        </w:rPr>
        <w:t>Fecha en que dejó de laborar en el Ayuntamiento l</w:t>
      </w:r>
      <w:r w:rsidR="00BF55D5" w:rsidRPr="00123874">
        <w:rPr>
          <w:rFonts w:ascii="Palatino Linotype" w:hAnsi="Palatino Linotype"/>
          <w:i/>
          <w:sz w:val="22"/>
          <w:lang w:eastAsia="es-MX"/>
        </w:rPr>
        <w:t>a</w:t>
      </w:r>
      <w:r w:rsidRPr="00123874">
        <w:rPr>
          <w:rFonts w:ascii="Palatino Linotype" w:hAnsi="Palatino Linotype"/>
          <w:i/>
          <w:sz w:val="22"/>
          <w:lang w:eastAsia="es-MX"/>
        </w:rPr>
        <w:t xml:space="preserve"> </w:t>
      </w:r>
      <w:r w:rsidR="00BF55D5" w:rsidRPr="00123874">
        <w:rPr>
          <w:rFonts w:ascii="Palatino Linotype" w:hAnsi="Palatino Linotype"/>
          <w:i/>
          <w:sz w:val="22"/>
          <w:lang w:eastAsia="es-MX"/>
        </w:rPr>
        <w:t xml:space="preserve">persona referida </w:t>
      </w:r>
      <w:r w:rsidRPr="00123874">
        <w:rPr>
          <w:rFonts w:ascii="Palatino Linotype" w:hAnsi="Palatino Linotype"/>
          <w:i/>
          <w:sz w:val="22"/>
          <w:lang w:eastAsia="es-MX"/>
        </w:rPr>
        <w:t xml:space="preserve">en solicitud. </w:t>
      </w:r>
    </w:p>
    <w:p w:rsidR="005C42C0" w:rsidRPr="00123874" w:rsidRDefault="00123874" w:rsidP="005C42C0">
      <w:pPr>
        <w:spacing w:before="120" w:after="120"/>
        <w:ind w:left="851" w:right="899"/>
        <w:jc w:val="both"/>
        <w:rPr>
          <w:rFonts w:ascii="Palatino Linotype" w:hAnsi="Palatino Linotype"/>
          <w:i/>
          <w:sz w:val="22"/>
          <w:lang w:eastAsia="es-MX"/>
        </w:rPr>
      </w:pPr>
      <w:r>
        <w:rPr>
          <w:rFonts w:ascii="Palatino Linotype" w:hAnsi="Palatino Linotype"/>
          <w:i/>
          <w:sz w:val="22"/>
          <w:lang w:eastAsia="es-MX"/>
        </w:rPr>
        <w:t>b)</w:t>
      </w:r>
      <w:r w:rsidR="005C42C0" w:rsidRPr="00123874">
        <w:rPr>
          <w:rFonts w:ascii="Palatino Linotype" w:hAnsi="Palatino Linotype"/>
          <w:i/>
          <w:sz w:val="22"/>
          <w:lang w:eastAsia="es-MX"/>
        </w:rPr>
        <w:t xml:space="preserve"> Cargo que desempeñaba con copia de su nombramiento y </w:t>
      </w:r>
    </w:p>
    <w:p w:rsidR="005C42C0" w:rsidRPr="00BD1BFA" w:rsidRDefault="00123874" w:rsidP="005C42C0">
      <w:pPr>
        <w:spacing w:before="120" w:after="120"/>
        <w:ind w:left="851" w:right="899"/>
        <w:jc w:val="both"/>
        <w:rPr>
          <w:rFonts w:ascii="Palatino Linotype" w:hAnsi="Palatino Linotype"/>
          <w:i/>
          <w:lang w:eastAsia="es-MX"/>
        </w:rPr>
      </w:pPr>
      <w:r>
        <w:rPr>
          <w:rFonts w:ascii="Palatino Linotype" w:hAnsi="Palatino Linotype"/>
          <w:i/>
          <w:sz w:val="22"/>
          <w:lang w:eastAsia="es-MX"/>
        </w:rPr>
        <w:lastRenderedPageBreak/>
        <w:t>c)</w:t>
      </w:r>
      <w:r w:rsidR="005C42C0" w:rsidRPr="00123874">
        <w:rPr>
          <w:rFonts w:ascii="Palatino Linotype" w:hAnsi="Palatino Linotype"/>
          <w:i/>
          <w:sz w:val="22"/>
          <w:lang w:eastAsia="es-MX"/>
        </w:rPr>
        <w:t xml:space="preserve"> Indicar si existe una demanda laboral teniendo como actor a la persona que responde al nombre de referido en solicitud.</w:t>
      </w:r>
      <w:r w:rsidR="005C42C0" w:rsidRPr="00BD1BFA">
        <w:rPr>
          <w:rFonts w:ascii="Palatino Linotype" w:hAnsi="Palatino Linotype"/>
          <w:i/>
          <w:lang w:eastAsia="es-MX"/>
        </w:rPr>
        <w:t xml:space="preserve"> </w:t>
      </w:r>
    </w:p>
    <w:p w:rsidR="005C42C0" w:rsidRDefault="00757442" w:rsidP="00071361">
      <w:pPr>
        <w:pStyle w:val="Textoindependiente"/>
        <w:spacing w:before="100" w:beforeAutospacing="1" w:after="100" w:afterAutospacing="1" w:line="360" w:lineRule="auto"/>
        <w:jc w:val="both"/>
        <w:rPr>
          <w:rFonts w:ascii="Palatino Linotype" w:hAnsi="Palatino Linotype"/>
        </w:rPr>
      </w:pPr>
      <w:r w:rsidRPr="00E91339">
        <w:rPr>
          <w:rFonts w:ascii="Palatino Linotype" w:hAnsi="Palatino Linotype"/>
        </w:rPr>
        <w:t xml:space="preserve">De las constancias que obran dentro del expediente electrónico del Sistema de Acceso a la Información Mexiquense, en lo subsecuente el </w:t>
      </w:r>
      <w:r w:rsidRPr="00E91339">
        <w:rPr>
          <w:rFonts w:ascii="Palatino Linotype" w:hAnsi="Palatino Linotype"/>
          <w:b/>
        </w:rPr>
        <w:t>SAIMEX,</w:t>
      </w:r>
      <w:r w:rsidRPr="00E91339">
        <w:rPr>
          <w:rFonts w:ascii="Palatino Linotype" w:hAnsi="Palatino Linotype"/>
        </w:rPr>
        <w:t xml:space="preserve"> se advierte que </w:t>
      </w:r>
      <w:r w:rsidRPr="00E91339">
        <w:rPr>
          <w:rFonts w:ascii="Palatino Linotype" w:hAnsi="Palatino Linotype"/>
          <w:b/>
        </w:rPr>
        <w:t xml:space="preserve">EL SUJETO OBLIGADO </w:t>
      </w:r>
      <w:r w:rsidR="005E3F5F">
        <w:rPr>
          <w:rFonts w:ascii="Palatino Linotype" w:hAnsi="Palatino Linotype"/>
        </w:rPr>
        <w:t xml:space="preserve">en respuesta </w:t>
      </w:r>
      <w:r w:rsidR="005C42C0">
        <w:rPr>
          <w:rFonts w:ascii="Palatino Linotype" w:hAnsi="Palatino Linotype"/>
        </w:rPr>
        <w:t>señal</w:t>
      </w:r>
      <w:r w:rsidR="00123874">
        <w:rPr>
          <w:rFonts w:ascii="Palatino Linotype" w:hAnsi="Palatino Linotype"/>
        </w:rPr>
        <w:t>ó</w:t>
      </w:r>
      <w:r w:rsidR="005C42C0">
        <w:rPr>
          <w:rFonts w:ascii="Palatino Linotype" w:hAnsi="Palatino Linotype"/>
        </w:rPr>
        <w:t xml:space="preserve"> </w:t>
      </w:r>
      <w:r w:rsidR="005C42C0" w:rsidRPr="00860A35">
        <w:rPr>
          <w:rFonts w:ascii="Palatino Linotype" w:hAnsi="Palatino Linotype"/>
          <w:color w:val="000000"/>
        </w:rPr>
        <w:t xml:space="preserve">que la información </w:t>
      </w:r>
      <w:r w:rsidR="002833D8">
        <w:rPr>
          <w:rFonts w:ascii="Palatino Linotype" w:hAnsi="Palatino Linotype"/>
        </w:rPr>
        <w:t>hace</w:t>
      </w:r>
      <w:r w:rsidR="005C42C0">
        <w:rPr>
          <w:rFonts w:ascii="Palatino Linotype" w:hAnsi="Palatino Linotype"/>
        </w:rPr>
        <w:t xml:space="preserve"> referencia </w:t>
      </w:r>
      <w:r w:rsidR="002833D8">
        <w:rPr>
          <w:rFonts w:ascii="Palatino Linotype" w:hAnsi="Palatino Linotype"/>
        </w:rPr>
        <w:t>a</w:t>
      </w:r>
      <w:r w:rsidR="005C42C0">
        <w:rPr>
          <w:rFonts w:ascii="Palatino Linotype" w:hAnsi="Palatino Linotype"/>
        </w:rPr>
        <w:t xml:space="preserve">l cumplimiento del recurso de revisión 00979/INFOEM/IP/RR/2017, mismo que después de una búsqueda en los archivos de la Unidad de Transparencia Municipal y de la consulta a la plataforma del </w:t>
      </w:r>
      <w:proofErr w:type="spellStart"/>
      <w:r w:rsidR="005C42C0">
        <w:rPr>
          <w:rFonts w:ascii="Palatino Linotype" w:hAnsi="Palatino Linotype"/>
        </w:rPr>
        <w:t>Saimex</w:t>
      </w:r>
      <w:proofErr w:type="spellEnd"/>
      <w:r w:rsidR="005C42C0">
        <w:rPr>
          <w:rFonts w:ascii="Palatino Linotype" w:hAnsi="Palatino Linotype"/>
        </w:rPr>
        <w:t xml:space="preserve"> no se tiene registro alguno.</w:t>
      </w:r>
    </w:p>
    <w:p w:rsidR="00D07727" w:rsidRDefault="00D07727" w:rsidP="00071361">
      <w:pPr>
        <w:spacing w:before="100" w:beforeAutospacing="1" w:after="100" w:afterAutospacing="1" w:line="360" w:lineRule="auto"/>
        <w:jc w:val="both"/>
        <w:rPr>
          <w:rFonts w:ascii="Palatino Linotype" w:hAnsi="Palatino Linotype" w:cs="Arial"/>
        </w:rPr>
      </w:pPr>
      <w:r w:rsidRPr="00E91339">
        <w:rPr>
          <w:rFonts w:ascii="Palatino Linotype" w:hAnsi="Palatino Linotype" w:cs="Arial"/>
        </w:rPr>
        <w:t xml:space="preserve">En ese tenor, </w:t>
      </w:r>
      <w:r w:rsidR="00CF2477">
        <w:rPr>
          <w:rFonts w:ascii="Palatino Linotype" w:hAnsi="Palatino Linotype" w:cs="Arial"/>
          <w:b/>
        </w:rPr>
        <w:t>EL</w:t>
      </w:r>
      <w:r w:rsidRPr="00E91339">
        <w:rPr>
          <w:rFonts w:ascii="Palatino Linotype" w:hAnsi="Palatino Linotype" w:cs="Arial"/>
          <w:b/>
        </w:rPr>
        <w:t xml:space="preserve"> RECURRENTE</w:t>
      </w:r>
      <w:r w:rsidRPr="00E91339">
        <w:rPr>
          <w:rFonts w:ascii="Palatino Linotype" w:hAnsi="Palatino Linotype" w:cs="Arial"/>
        </w:rPr>
        <w:t xml:space="preserve"> inconforme con la respuesta otorgada por </w:t>
      </w:r>
      <w:r w:rsidRPr="00E91339">
        <w:rPr>
          <w:rFonts w:ascii="Palatino Linotype" w:hAnsi="Palatino Linotype" w:cs="Arial"/>
          <w:b/>
        </w:rPr>
        <w:t>EL SUJETO OBLIGADO,</w:t>
      </w:r>
      <w:r w:rsidR="00151DCB">
        <w:rPr>
          <w:rFonts w:ascii="Palatino Linotype" w:hAnsi="Palatino Linotype" w:cs="Arial"/>
        </w:rPr>
        <w:t xml:space="preserve"> interpuso </w:t>
      </w:r>
      <w:r w:rsidR="005E3F5F">
        <w:rPr>
          <w:rFonts w:ascii="Palatino Linotype" w:hAnsi="Palatino Linotype" w:cs="Arial"/>
        </w:rPr>
        <w:t>el</w:t>
      </w:r>
      <w:r w:rsidRPr="00E91339">
        <w:rPr>
          <w:rFonts w:ascii="Palatino Linotype" w:hAnsi="Palatino Linotype" w:cs="Arial"/>
        </w:rPr>
        <w:t xml:space="preserve"> recurso de revisión de mérito.</w:t>
      </w:r>
    </w:p>
    <w:p w:rsidR="00BF55D5" w:rsidRDefault="00D07727" w:rsidP="00071361">
      <w:pPr>
        <w:spacing w:before="100" w:beforeAutospacing="1" w:after="100" w:afterAutospacing="1" w:line="360" w:lineRule="auto"/>
        <w:jc w:val="both"/>
        <w:rPr>
          <w:rFonts w:ascii="Palatino Linotype" w:hAnsi="Palatino Linotype" w:cs="Arial"/>
        </w:rPr>
      </w:pPr>
      <w:r w:rsidRPr="00E91339">
        <w:rPr>
          <w:rFonts w:ascii="Palatino Linotype" w:hAnsi="Palatino Linotype" w:cs="Arial"/>
        </w:rPr>
        <w:t xml:space="preserve">Derivado de lo anterior, la Ponencia </w:t>
      </w:r>
      <w:proofErr w:type="spellStart"/>
      <w:r w:rsidR="00F37582" w:rsidRPr="00E91339">
        <w:rPr>
          <w:rFonts w:ascii="Palatino Linotype" w:hAnsi="Palatino Linotype" w:cs="Arial"/>
        </w:rPr>
        <w:t>Resolutora</w:t>
      </w:r>
      <w:proofErr w:type="spellEnd"/>
      <w:r w:rsidRPr="00E91339">
        <w:rPr>
          <w:rFonts w:ascii="Palatino Linotype" w:hAnsi="Palatino Linotype" w:cs="Arial"/>
        </w:rPr>
        <w:t xml:space="preserve"> determinó </w:t>
      </w:r>
      <w:r w:rsidR="0080185B">
        <w:rPr>
          <w:rFonts w:ascii="Palatino Linotype" w:hAnsi="Palatino Linotype" w:cs="Arial"/>
          <w:b/>
        </w:rPr>
        <w:t xml:space="preserve">SOBRESEER </w:t>
      </w:r>
      <w:r w:rsidR="0080185B">
        <w:rPr>
          <w:rFonts w:ascii="Palatino Linotype" w:hAnsi="Palatino Linotype" w:cs="Arial"/>
        </w:rPr>
        <w:t>el recurso de revisión en términ</w:t>
      </w:r>
      <w:r w:rsidR="00BF55D5">
        <w:rPr>
          <w:rFonts w:ascii="Palatino Linotype" w:hAnsi="Palatino Linotype" w:cs="Arial"/>
        </w:rPr>
        <w:t xml:space="preserve">os del artículo 192, fracción </w:t>
      </w:r>
      <w:r w:rsidR="0080185B">
        <w:rPr>
          <w:rFonts w:ascii="Palatino Linotype" w:hAnsi="Palatino Linotype" w:cs="Arial"/>
        </w:rPr>
        <w:t>I</w:t>
      </w:r>
      <w:r w:rsidR="00BF55D5">
        <w:rPr>
          <w:rFonts w:ascii="Palatino Linotype" w:hAnsi="Palatino Linotype" w:cs="Arial"/>
        </w:rPr>
        <w:t>V</w:t>
      </w:r>
      <w:r w:rsidR="0080185B">
        <w:rPr>
          <w:rFonts w:ascii="Palatino Linotype" w:hAnsi="Palatino Linotype" w:cs="Arial"/>
        </w:rPr>
        <w:t>, por</w:t>
      </w:r>
      <w:r w:rsidR="00BF55D5">
        <w:rPr>
          <w:rFonts w:ascii="Palatino Linotype" w:hAnsi="Palatino Linotype" w:cs="Arial"/>
        </w:rPr>
        <w:t xml:space="preserve"> ser improcedente</w:t>
      </w:r>
      <w:r w:rsidR="00F05F5A">
        <w:rPr>
          <w:rFonts w:ascii="Palatino Linotype" w:hAnsi="Palatino Linotype" w:cs="Arial"/>
        </w:rPr>
        <w:t xml:space="preserve"> en términos de la Ley de la materia. </w:t>
      </w:r>
    </w:p>
    <w:p w:rsidR="00D07727" w:rsidRDefault="00D07727" w:rsidP="00071361">
      <w:pPr>
        <w:spacing w:before="100" w:beforeAutospacing="1" w:after="100" w:afterAutospacing="1" w:line="360" w:lineRule="auto"/>
        <w:jc w:val="both"/>
        <w:rPr>
          <w:rFonts w:ascii="Palatino Linotype" w:hAnsi="Palatino Linotype"/>
        </w:rPr>
      </w:pPr>
      <w:r w:rsidRPr="00E91339">
        <w:rPr>
          <w:rFonts w:ascii="Palatino Linotype" w:hAnsi="Palatino Linotype" w:cs="Arial"/>
        </w:rPr>
        <w:t xml:space="preserve">En ese sentido, </w:t>
      </w:r>
      <w:r w:rsidRPr="00E91339">
        <w:rPr>
          <w:rFonts w:ascii="Palatino Linotype" w:hAnsi="Palatino Linotype"/>
        </w:rPr>
        <w:t>la</w:t>
      </w:r>
      <w:r w:rsidR="00C1015F" w:rsidRPr="00E91339">
        <w:rPr>
          <w:rFonts w:ascii="Palatino Linotype" w:hAnsi="Palatino Linotype"/>
        </w:rPr>
        <w:t xml:space="preserve"> suscrita,</w:t>
      </w:r>
      <w:r w:rsidRPr="00E91339">
        <w:rPr>
          <w:rFonts w:ascii="Palatino Linotype" w:hAnsi="Palatino Linotype"/>
        </w:rPr>
        <w:t xml:space="preserve"> si bien coincide en términos generales con</w:t>
      </w:r>
      <w:r w:rsidR="006C0315" w:rsidRPr="00E91339">
        <w:rPr>
          <w:rFonts w:ascii="Palatino Linotype" w:hAnsi="Palatino Linotype"/>
        </w:rPr>
        <w:t xml:space="preserve"> las razones que dieron origen a</w:t>
      </w:r>
      <w:r w:rsidR="00151DCB">
        <w:rPr>
          <w:rFonts w:ascii="Palatino Linotype" w:hAnsi="Palatino Linotype"/>
        </w:rPr>
        <w:t xml:space="preserve">l </w:t>
      </w:r>
      <w:r w:rsidR="006C0315" w:rsidRPr="00E91339">
        <w:rPr>
          <w:rFonts w:ascii="Palatino Linotype" w:hAnsi="Palatino Linotype"/>
        </w:rPr>
        <w:t>recurso de revisión de mérito,</w:t>
      </w:r>
      <w:r w:rsidR="0080185B">
        <w:rPr>
          <w:rFonts w:ascii="Palatino Linotype" w:hAnsi="Palatino Linotype"/>
        </w:rPr>
        <w:t xml:space="preserve"> difiero respecto a la fundamentación del </w:t>
      </w:r>
      <w:r w:rsidRPr="00E91339">
        <w:rPr>
          <w:rFonts w:ascii="Palatino Linotype" w:hAnsi="Palatino Linotype"/>
        </w:rPr>
        <w:t>sentido de la misma</w:t>
      </w:r>
      <w:r w:rsidR="007D7A9C" w:rsidRPr="001E6953">
        <w:rPr>
          <w:rFonts w:ascii="Palatino Linotype" w:hAnsi="Palatino Linotype"/>
        </w:rPr>
        <w:t>;</w:t>
      </w:r>
      <w:r w:rsidRPr="00E91339">
        <w:rPr>
          <w:rFonts w:ascii="Palatino Linotype" w:hAnsi="Palatino Linotype"/>
          <w:b/>
        </w:rPr>
        <w:t xml:space="preserve"> </w:t>
      </w:r>
      <w:r w:rsidR="007D7A9C" w:rsidRPr="00E91339">
        <w:rPr>
          <w:rFonts w:ascii="Palatino Linotype" w:hAnsi="Palatino Linotype"/>
        </w:rPr>
        <w:t>l</w:t>
      </w:r>
      <w:r w:rsidRPr="00E91339">
        <w:rPr>
          <w:rFonts w:ascii="Palatino Linotype" w:hAnsi="Palatino Linotype"/>
        </w:rPr>
        <w:t>o anterior es así, de acuerdo con lo siguiente.</w:t>
      </w:r>
    </w:p>
    <w:p w:rsidR="00D07727" w:rsidRPr="00E91339" w:rsidRDefault="00D07727" w:rsidP="00071361">
      <w:pPr>
        <w:spacing w:before="100" w:beforeAutospacing="1" w:after="100" w:afterAutospacing="1" w:line="360" w:lineRule="auto"/>
        <w:jc w:val="both"/>
        <w:rPr>
          <w:rFonts w:ascii="Palatino Linotype" w:hAnsi="Palatino Linotype"/>
        </w:rPr>
      </w:pPr>
      <w:r w:rsidRPr="00E91339">
        <w:rPr>
          <w:rFonts w:ascii="Palatino Linotype" w:hAnsi="Palatino Linotype"/>
        </w:rPr>
        <w:t xml:space="preserve">Siendo así, es necesario precisar que de conformidad con el artículo 186 de la </w:t>
      </w:r>
      <w:r w:rsidRPr="00E91339">
        <w:rPr>
          <w:rFonts w:ascii="Palatino Linotype" w:hAnsi="Palatino Linotype" w:cs="Arial"/>
        </w:rPr>
        <w:t>Ley de Transparencia y Acceso a la Información Pública del Estado de México y Municipios,</w:t>
      </w:r>
      <w:r w:rsidRPr="00E91339">
        <w:rPr>
          <w:rFonts w:ascii="Palatino Linotype" w:hAnsi="Palatino Linotype"/>
        </w:rPr>
        <w:t xml:space="preserve"> las Resoluciones emitidas por este Órgano Garante podrán:</w:t>
      </w:r>
    </w:p>
    <w:p w:rsidR="00D07727" w:rsidRPr="001E6953" w:rsidRDefault="00D07727" w:rsidP="001E6953">
      <w:pPr>
        <w:pStyle w:val="Prrafodelista"/>
        <w:numPr>
          <w:ilvl w:val="0"/>
          <w:numId w:val="1"/>
        </w:numPr>
        <w:ind w:left="851" w:right="902" w:firstLine="0"/>
        <w:jc w:val="both"/>
        <w:rPr>
          <w:rFonts w:ascii="Palatino Linotype" w:hAnsi="Palatino Linotype"/>
          <w:b/>
          <w:i/>
          <w:sz w:val="22"/>
        </w:rPr>
      </w:pPr>
      <w:r w:rsidRPr="001E6953">
        <w:rPr>
          <w:rFonts w:ascii="Palatino Linotype" w:hAnsi="Palatino Linotype"/>
          <w:b/>
          <w:i/>
          <w:sz w:val="22"/>
        </w:rPr>
        <w:t xml:space="preserve">Desechar o sobreseer el recurso; </w:t>
      </w:r>
    </w:p>
    <w:p w:rsidR="00D07727" w:rsidRPr="001E6953" w:rsidRDefault="00D07727" w:rsidP="001E6953">
      <w:pPr>
        <w:pStyle w:val="Prrafodelista"/>
        <w:numPr>
          <w:ilvl w:val="0"/>
          <w:numId w:val="1"/>
        </w:numPr>
        <w:ind w:left="851" w:right="902" w:firstLine="0"/>
        <w:jc w:val="both"/>
        <w:rPr>
          <w:rFonts w:ascii="Palatino Linotype" w:hAnsi="Palatino Linotype"/>
          <w:i/>
          <w:sz w:val="22"/>
        </w:rPr>
      </w:pPr>
      <w:r w:rsidRPr="001E6953">
        <w:rPr>
          <w:rFonts w:ascii="Palatino Linotype" w:hAnsi="Palatino Linotype"/>
          <w:i/>
          <w:sz w:val="22"/>
        </w:rPr>
        <w:t xml:space="preserve">Confirmar la respuesta del sujeto obligado; </w:t>
      </w:r>
    </w:p>
    <w:p w:rsidR="00D07727" w:rsidRPr="001E6953" w:rsidRDefault="00D07727" w:rsidP="001E6953">
      <w:pPr>
        <w:pStyle w:val="Prrafodelista"/>
        <w:numPr>
          <w:ilvl w:val="0"/>
          <w:numId w:val="1"/>
        </w:numPr>
        <w:ind w:left="851" w:right="902" w:firstLine="0"/>
        <w:jc w:val="both"/>
        <w:rPr>
          <w:rFonts w:ascii="Palatino Linotype" w:hAnsi="Palatino Linotype"/>
          <w:i/>
          <w:sz w:val="22"/>
        </w:rPr>
      </w:pPr>
      <w:r w:rsidRPr="001E6953">
        <w:rPr>
          <w:rFonts w:ascii="Palatino Linotype" w:hAnsi="Palatino Linotype"/>
          <w:i/>
          <w:sz w:val="22"/>
        </w:rPr>
        <w:lastRenderedPageBreak/>
        <w:t xml:space="preserve">Revocar o modificar la respuesta del sujeto obligado; y </w:t>
      </w:r>
    </w:p>
    <w:p w:rsidR="00D07727" w:rsidRPr="00AF5293" w:rsidRDefault="00D07727" w:rsidP="001E6953">
      <w:pPr>
        <w:pStyle w:val="Prrafodelista"/>
        <w:numPr>
          <w:ilvl w:val="0"/>
          <w:numId w:val="1"/>
        </w:numPr>
        <w:ind w:left="851" w:right="902" w:firstLine="0"/>
        <w:jc w:val="both"/>
        <w:rPr>
          <w:rFonts w:ascii="Palatino Linotype" w:hAnsi="Palatino Linotype"/>
          <w:i/>
        </w:rPr>
      </w:pPr>
      <w:r w:rsidRPr="001E6953">
        <w:rPr>
          <w:rFonts w:ascii="Palatino Linotype" w:hAnsi="Palatino Linotype"/>
          <w:i/>
          <w:sz w:val="22"/>
        </w:rPr>
        <w:t>Ordenar la entrega de la información</w:t>
      </w:r>
      <w:r w:rsidRPr="00AF5293">
        <w:rPr>
          <w:rFonts w:ascii="Palatino Linotype" w:hAnsi="Palatino Linotype"/>
          <w:i/>
        </w:rPr>
        <w:t>.</w:t>
      </w:r>
    </w:p>
    <w:p w:rsidR="00D07727" w:rsidRDefault="00D07727" w:rsidP="00071361">
      <w:pPr>
        <w:spacing w:before="100" w:beforeAutospacing="1" w:after="100" w:afterAutospacing="1" w:line="360" w:lineRule="auto"/>
        <w:jc w:val="both"/>
        <w:rPr>
          <w:rFonts w:ascii="Palatino Linotype" w:hAnsi="Palatino Linotype"/>
        </w:rPr>
      </w:pPr>
      <w:r w:rsidRPr="00E91339">
        <w:rPr>
          <w:rFonts w:ascii="Palatino Linotype" w:hAnsi="Palatino Linotype"/>
        </w:rPr>
        <w:t>En el</w:t>
      </w:r>
      <w:r w:rsidR="0080185B">
        <w:rPr>
          <w:rFonts w:ascii="Palatino Linotype" w:hAnsi="Palatino Linotype"/>
        </w:rPr>
        <w:t xml:space="preserve"> caso particular de la fracción</w:t>
      </w:r>
      <w:r w:rsidRPr="00E91339">
        <w:rPr>
          <w:rFonts w:ascii="Palatino Linotype" w:hAnsi="Palatino Linotype"/>
        </w:rPr>
        <w:t xml:space="preserve"> I y en relación a dicho</w:t>
      </w:r>
      <w:r w:rsidR="0080185B">
        <w:rPr>
          <w:rFonts w:ascii="Palatino Linotype" w:hAnsi="Palatino Linotype"/>
        </w:rPr>
        <w:t xml:space="preserve"> sentido</w:t>
      </w:r>
      <w:r w:rsidRPr="00E91339">
        <w:rPr>
          <w:rFonts w:ascii="Palatino Linotype" w:hAnsi="Palatino Linotype"/>
        </w:rPr>
        <w:t xml:space="preserve"> se procede a </w:t>
      </w:r>
      <w:r w:rsidRPr="00E91339">
        <w:rPr>
          <w:rFonts w:ascii="Palatino Linotype" w:hAnsi="Palatino Linotype"/>
          <w:b/>
        </w:rPr>
        <w:t>SOBRESEE</w:t>
      </w:r>
      <w:r w:rsidR="001E6953" w:rsidRPr="001E6953">
        <w:rPr>
          <w:rFonts w:ascii="Palatino Linotype" w:hAnsi="Palatino Linotype"/>
          <w:b/>
        </w:rPr>
        <w:t>R</w:t>
      </w:r>
      <w:r w:rsidR="001E6953">
        <w:rPr>
          <w:rFonts w:ascii="Palatino Linotype" w:hAnsi="Palatino Linotype"/>
        </w:rPr>
        <w:t xml:space="preserve"> </w:t>
      </w:r>
      <w:r w:rsidRPr="00E91339">
        <w:rPr>
          <w:rFonts w:ascii="Palatino Linotype" w:hAnsi="Palatino Linotype"/>
        </w:rPr>
        <w:t>el recurso de revisión cuando una vez admitido se actualice alguno de los supuestos previstos en el nume</w:t>
      </w:r>
      <w:r w:rsidR="00EC1708">
        <w:rPr>
          <w:rFonts w:ascii="Palatino Linotype" w:hAnsi="Palatino Linotype"/>
        </w:rPr>
        <w:t>ral 192 de la Ley de la materia, mismo que a letra dice:</w:t>
      </w:r>
    </w:p>
    <w:p w:rsidR="00EC1708" w:rsidRPr="007779AF" w:rsidRDefault="007779AF" w:rsidP="007779AF">
      <w:pPr>
        <w:ind w:left="851" w:right="902"/>
        <w:jc w:val="both"/>
        <w:rPr>
          <w:rFonts w:ascii="Palatino Linotype" w:hAnsi="Palatino Linotype"/>
          <w:i/>
          <w:sz w:val="22"/>
        </w:rPr>
      </w:pPr>
      <w:r w:rsidRPr="007779AF">
        <w:rPr>
          <w:rFonts w:ascii="Palatino Linotype" w:hAnsi="Palatino Linotype"/>
          <w:i/>
          <w:sz w:val="22"/>
        </w:rPr>
        <w:t>“</w:t>
      </w:r>
      <w:r w:rsidR="00EC1708" w:rsidRPr="007779AF">
        <w:rPr>
          <w:rFonts w:ascii="Palatino Linotype" w:hAnsi="Palatino Linotype"/>
          <w:b/>
          <w:i/>
          <w:sz w:val="22"/>
        </w:rPr>
        <w:t>Artículo 192</w:t>
      </w:r>
      <w:r w:rsidR="00EC1708" w:rsidRPr="007779AF">
        <w:rPr>
          <w:rFonts w:ascii="Palatino Linotype" w:hAnsi="Palatino Linotype"/>
          <w:i/>
          <w:sz w:val="22"/>
        </w:rPr>
        <w:t xml:space="preserve">. El recurso será sobreseído, en todo o en parte, cuando una vez admitido, se actualicen alguno de los siguientes supuestos: </w:t>
      </w:r>
    </w:p>
    <w:p w:rsidR="00EC1708" w:rsidRPr="007779AF" w:rsidRDefault="00EC1708" w:rsidP="007779AF">
      <w:pPr>
        <w:pStyle w:val="Prrafodelista"/>
        <w:numPr>
          <w:ilvl w:val="0"/>
          <w:numId w:val="5"/>
        </w:numPr>
        <w:ind w:left="851" w:right="902" w:firstLine="0"/>
        <w:jc w:val="both"/>
        <w:rPr>
          <w:rFonts w:ascii="Palatino Linotype" w:hAnsi="Palatino Linotype"/>
          <w:i/>
          <w:sz w:val="22"/>
        </w:rPr>
      </w:pPr>
      <w:r w:rsidRPr="007779AF">
        <w:rPr>
          <w:rFonts w:ascii="Palatino Linotype" w:hAnsi="Palatino Linotype"/>
          <w:i/>
          <w:sz w:val="22"/>
        </w:rPr>
        <w:t xml:space="preserve">El recurrente se desista expresamente del recurso; </w:t>
      </w:r>
    </w:p>
    <w:p w:rsidR="00EC1708" w:rsidRPr="007779AF" w:rsidRDefault="00EC1708" w:rsidP="007779AF">
      <w:pPr>
        <w:pStyle w:val="Prrafodelista"/>
        <w:numPr>
          <w:ilvl w:val="0"/>
          <w:numId w:val="5"/>
        </w:numPr>
        <w:ind w:left="851" w:right="902" w:firstLine="0"/>
        <w:jc w:val="both"/>
        <w:rPr>
          <w:rFonts w:ascii="Palatino Linotype" w:hAnsi="Palatino Linotype"/>
          <w:i/>
          <w:sz w:val="22"/>
        </w:rPr>
      </w:pPr>
      <w:r w:rsidRPr="007779AF">
        <w:rPr>
          <w:rFonts w:ascii="Palatino Linotype" w:hAnsi="Palatino Linotype"/>
          <w:i/>
          <w:sz w:val="22"/>
        </w:rPr>
        <w:t xml:space="preserve">El recurrente fallezca o, tratándose de personas jurídicas colectivas, se disuelva; </w:t>
      </w:r>
    </w:p>
    <w:p w:rsidR="00EC1708" w:rsidRPr="007779AF" w:rsidRDefault="00EC1708" w:rsidP="007779AF">
      <w:pPr>
        <w:pStyle w:val="Prrafodelista"/>
        <w:numPr>
          <w:ilvl w:val="0"/>
          <w:numId w:val="5"/>
        </w:numPr>
        <w:ind w:left="851" w:right="902" w:firstLine="0"/>
        <w:jc w:val="both"/>
        <w:rPr>
          <w:rFonts w:ascii="Palatino Linotype" w:hAnsi="Palatino Linotype"/>
          <w:i/>
          <w:sz w:val="22"/>
        </w:rPr>
      </w:pPr>
      <w:r w:rsidRPr="007779AF">
        <w:rPr>
          <w:rFonts w:ascii="Palatino Linotype" w:hAnsi="Palatino Linotype"/>
          <w:i/>
          <w:sz w:val="22"/>
        </w:rPr>
        <w:t xml:space="preserve">El sujeto obligado responsable del acto lo modifique o revoque de tal manera que el recurso de revisión quede sin materia; </w:t>
      </w:r>
    </w:p>
    <w:p w:rsidR="00EC1708" w:rsidRPr="007779AF" w:rsidRDefault="00EC1708" w:rsidP="007779AF">
      <w:pPr>
        <w:pStyle w:val="Prrafodelista"/>
        <w:numPr>
          <w:ilvl w:val="0"/>
          <w:numId w:val="5"/>
        </w:numPr>
        <w:ind w:left="851" w:right="902" w:firstLine="0"/>
        <w:jc w:val="both"/>
        <w:rPr>
          <w:rFonts w:ascii="Palatino Linotype" w:hAnsi="Palatino Linotype"/>
          <w:i/>
          <w:sz w:val="22"/>
        </w:rPr>
      </w:pPr>
      <w:r w:rsidRPr="007779AF">
        <w:rPr>
          <w:rFonts w:ascii="Palatino Linotype" w:hAnsi="Palatino Linotype"/>
          <w:i/>
          <w:sz w:val="22"/>
        </w:rPr>
        <w:t xml:space="preserve">Admitido el recurso de revisión, aparezca alguna causal de improcedencia en los términos de la presente Ley; y </w:t>
      </w:r>
    </w:p>
    <w:p w:rsidR="00EC1708" w:rsidRPr="00EC1708" w:rsidRDefault="00EC1708" w:rsidP="007779AF">
      <w:pPr>
        <w:pStyle w:val="Prrafodelista"/>
        <w:numPr>
          <w:ilvl w:val="0"/>
          <w:numId w:val="5"/>
        </w:numPr>
        <w:ind w:left="851" w:right="902" w:firstLine="0"/>
        <w:jc w:val="both"/>
        <w:rPr>
          <w:rFonts w:ascii="Palatino Linotype" w:hAnsi="Palatino Linotype"/>
          <w:sz w:val="22"/>
        </w:rPr>
      </w:pPr>
      <w:r w:rsidRPr="007779AF">
        <w:rPr>
          <w:rFonts w:ascii="Palatino Linotype" w:hAnsi="Palatino Linotype"/>
          <w:b/>
          <w:i/>
          <w:sz w:val="22"/>
        </w:rPr>
        <w:t>Cuando por cualquier motivo quede sin materia el recurso.</w:t>
      </w:r>
      <w:r w:rsidR="007779AF">
        <w:rPr>
          <w:rFonts w:ascii="Palatino Linotype" w:hAnsi="Palatino Linotype"/>
          <w:i/>
          <w:sz w:val="22"/>
        </w:rPr>
        <w:t>”</w:t>
      </w:r>
    </w:p>
    <w:p w:rsidR="006446DA" w:rsidRDefault="000C3CB9" w:rsidP="006446DA">
      <w:pPr>
        <w:widowControl w:val="0"/>
        <w:autoSpaceDE w:val="0"/>
        <w:autoSpaceDN w:val="0"/>
        <w:adjustRightInd w:val="0"/>
        <w:spacing w:before="360" w:after="240" w:line="360" w:lineRule="auto"/>
        <w:jc w:val="both"/>
        <w:rPr>
          <w:rFonts w:ascii="Palatino Linotype" w:hAnsi="Palatino Linotype" w:cs="Arial"/>
        </w:rPr>
      </w:pPr>
      <w:r w:rsidRPr="00E91339">
        <w:rPr>
          <w:rFonts w:ascii="Palatino Linotype" w:hAnsi="Palatino Linotype"/>
        </w:rPr>
        <w:t>Así, en el presente</w:t>
      </w:r>
      <w:r w:rsidR="0045261E">
        <w:rPr>
          <w:rFonts w:ascii="Palatino Linotype" w:hAnsi="Palatino Linotype"/>
        </w:rPr>
        <w:t xml:space="preserve"> voto,</w:t>
      </w:r>
      <w:r w:rsidRPr="00E91339">
        <w:rPr>
          <w:rFonts w:ascii="Palatino Linotype" w:hAnsi="Palatino Linotype"/>
        </w:rPr>
        <w:t xml:space="preserve"> si bien el estudio realizado por la Ponencia </w:t>
      </w:r>
      <w:proofErr w:type="spellStart"/>
      <w:r w:rsidRPr="00E91339">
        <w:rPr>
          <w:rFonts w:ascii="Palatino Linotype" w:hAnsi="Palatino Linotype"/>
        </w:rPr>
        <w:t>Resolutora</w:t>
      </w:r>
      <w:proofErr w:type="spellEnd"/>
      <w:r w:rsidRPr="00E91339">
        <w:rPr>
          <w:rFonts w:ascii="Palatino Linotype" w:hAnsi="Palatino Linotype"/>
        </w:rPr>
        <w:t xml:space="preserve"> determinó </w:t>
      </w:r>
      <w:r w:rsidR="0080185B">
        <w:rPr>
          <w:rFonts w:ascii="Palatino Linotype" w:hAnsi="Palatino Linotype"/>
          <w:b/>
        </w:rPr>
        <w:t>sobreseer</w:t>
      </w:r>
      <w:r w:rsidRPr="00E91339">
        <w:rPr>
          <w:rFonts w:ascii="Palatino Linotype" w:hAnsi="Palatino Linotype"/>
          <w:b/>
        </w:rPr>
        <w:t xml:space="preserve"> </w:t>
      </w:r>
      <w:r w:rsidR="0080185B">
        <w:rPr>
          <w:rFonts w:ascii="Palatino Linotype" w:hAnsi="Palatino Linotype"/>
        </w:rPr>
        <w:t>el recurso de revisión de mérito</w:t>
      </w:r>
      <w:r w:rsidRPr="00E91339">
        <w:rPr>
          <w:rFonts w:ascii="Palatino Linotype" w:hAnsi="Palatino Linotype"/>
          <w:b/>
        </w:rPr>
        <w:t xml:space="preserve">, </w:t>
      </w:r>
      <w:r w:rsidRPr="00E91339">
        <w:rPr>
          <w:rFonts w:ascii="Palatino Linotype" w:hAnsi="Palatino Linotype"/>
        </w:rPr>
        <w:t>también lo es que, a criterio de la suscrita</w:t>
      </w:r>
      <w:r w:rsidR="00E6107C">
        <w:rPr>
          <w:rFonts w:ascii="Palatino Linotype" w:hAnsi="Palatino Linotype"/>
        </w:rPr>
        <w:t>,</w:t>
      </w:r>
      <w:r w:rsidRPr="00E91339">
        <w:rPr>
          <w:rFonts w:ascii="Palatino Linotype" w:hAnsi="Palatino Linotype"/>
        </w:rPr>
        <w:t xml:space="preserve"> </w:t>
      </w:r>
      <w:r w:rsidR="00F05F5A">
        <w:rPr>
          <w:rFonts w:ascii="Palatino Linotype" w:hAnsi="Palatino Linotype"/>
        </w:rPr>
        <w:t>el</w:t>
      </w:r>
      <w:r w:rsidR="00AD710B">
        <w:rPr>
          <w:rFonts w:ascii="Palatino Linotype" w:hAnsi="Palatino Linotype"/>
        </w:rPr>
        <w:t xml:space="preserve"> </w:t>
      </w:r>
      <w:r w:rsidR="006446DA">
        <w:rPr>
          <w:rFonts w:ascii="Palatino Linotype" w:hAnsi="Palatino Linotype"/>
        </w:rPr>
        <w:t xml:space="preserve">fundamento aplicable para el presente asunto era </w:t>
      </w:r>
      <w:r w:rsidR="00AD710B">
        <w:rPr>
          <w:rFonts w:ascii="Palatino Linotype" w:hAnsi="Palatino Linotype"/>
        </w:rPr>
        <w:t>la fracción V del artículo referido con anterioridad, ello en atención a que lo requerido por el particular</w:t>
      </w:r>
      <w:r w:rsidR="006446DA">
        <w:rPr>
          <w:rFonts w:ascii="Palatino Linotype" w:hAnsi="Palatino Linotype"/>
        </w:rPr>
        <w:t xml:space="preserve"> ya </w:t>
      </w:r>
      <w:r w:rsidR="00AD710B">
        <w:rPr>
          <w:rFonts w:ascii="Palatino Linotype" w:hAnsi="Palatino Linotype"/>
        </w:rPr>
        <w:t>radica en expediente diverso</w:t>
      </w:r>
      <w:r w:rsidR="006446DA">
        <w:rPr>
          <w:rFonts w:ascii="Palatino Linotype" w:hAnsi="Palatino Linotype"/>
        </w:rPr>
        <w:t xml:space="preserve">; al respecto </w:t>
      </w:r>
      <w:r w:rsidR="006446DA">
        <w:rPr>
          <w:rFonts w:ascii="Palatino Linotype" w:hAnsi="Palatino Linotype" w:cs="Arial"/>
        </w:rPr>
        <w:t xml:space="preserve">conviene hacer mención que el Código de Procedimiento Civiles del Estado de México en su artículo 1.205 señala que hay cosa juzgada cuando la sentencia ha causado estado; en otras palabras, adquiere la calidad de cosa juzgada cuando el caso planteado en un proceso ha sido definitivamente resuelto en otro anterior mediante resolución firme, con lo cual se salvaguarda el principio de seguridad jurídica, que evita la interposición de recursos sucesivos sobre </w:t>
      </w:r>
      <w:r w:rsidR="006446DA">
        <w:rPr>
          <w:rFonts w:ascii="Palatino Linotype" w:hAnsi="Palatino Linotype" w:cs="Arial"/>
        </w:rPr>
        <w:lastRenderedPageBreak/>
        <w:t>cuestiones que ya han sido resueltas.</w:t>
      </w:r>
    </w:p>
    <w:p w:rsidR="005E664F" w:rsidRDefault="005E664F" w:rsidP="005E664F">
      <w:pPr>
        <w:widowControl w:val="0"/>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 xml:space="preserve">Sirve de sustento a lo anterior, la Tesis Aislada </w:t>
      </w:r>
      <w:r>
        <w:rPr>
          <w:rFonts w:ascii="Palatino Linotype" w:hAnsi="Palatino Linotype"/>
        </w:rPr>
        <w:t xml:space="preserve">1a. XCV/2016 (10a.) de la Décima Época de la Primera Sala de la suprema corte de Justicia de la Nación, que es del tenor literal siguiente: </w:t>
      </w:r>
    </w:p>
    <w:p w:rsidR="005E664F" w:rsidRDefault="005E664F" w:rsidP="005E664F">
      <w:pPr>
        <w:spacing w:before="120" w:after="120" w:line="276" w:lineRule="auto"/>
        <w:ind w:left="709" w:right="709"/>
        <w:jc w:val="both"/>
        <w:rPr>
          <w:rFonts w:ascii="Palatino Linotype" w:hAnsi="Palatino Linotype"/>
          <w:i/>
          <w:sz w:val="22"/>
          <w:szCs w:val="22"/>
        </w:rPr>
      </w:pPr>
      <w:r>
        <w:rPr>
          <w:rFonts w:ascii="Palatino Linotype" w:hAnsi="Palatino Linotype"/>
          <w:b/>
          <w:i/>
          <w:sz w:val="22"/>
          <w:szCs w:val="22"/>
        </w:rPr>
        <w:t xml:space="preserve">COSA JUZGADA. EL ARTÍCULO 61, FRACCIÓN XI, DE LA LEY DE AMPARO QUE LA PREVÉ COMO CAUSA DE IMPROCEDENCIA DEL JUICIO RELATIVO, ES COMPATIBLE CON EL DERECHO A LA SEGURIDAD JURÍDICA. </w:t>
      </w:r>
      <w:r>
        <w:rPr>
          <w:rFonts w:ascii="Palatino Linotype" w:hAnsi="Palatino Linotype"/>
          <w:i/>
          <w:sz w:val="22"/>
          <w:szCs w:val="22"/>
        </w:rPr>
        <w:t xml:space="preserve">Conforme al precepto y porción normativa señalados, </w:t>
      </w:r>
      <w:r w:rsidRPr="005E664F">
        <w:rPr>
          <w:rFonts w:ascii="Palatino Linotype" w:hAnsi="Palatino Linotype"/>
          <w:i/>
          <w:sz w:val="22"/>
          <w:szCs w:val="22"/>
        </w:rPr>
        <w:t>el principio de cosa juzgada opera en el juicio de amparo para actualizar una causa de improcedencia</w:t>
      </w:r>
      <w:r w:rsidRPr="005E664F">
        <w:rPr>
          <w:rFonts w:ascii="Palatino Linotype" w:hAnsi="Palatino Linotype"/>
          <w:b/>
          <w:i/>
          <w:sz w:val="22"/>
          <w:szCs w:val="22"/>
        </w:rPr>
        <w:t xml:space="preserve"> cuando existiendo una ejecutoria dictada en un juicio constitucional previo, se promueva uno nuevo en el que exista identidad de quejosos, autoridades responsables y actos reclamados</w:t>
      </w:r>
      <w:r>
        <w:rPr>
          <w:rFonts w:ascii="Palatino Linotype" w:hAnsi="Palatino Linotype"/>
          <w:b/>
          <w:i/>
          <w:sz w:val="22"/>
          <w:szCs w:val="22"/>
        </w:rPr>
        <w:t>,</w:t>
      </w:r>
      <w:r>
        <w:rPr>
          <w:rFonts w:ascii="Palatino Linotype" w:hAnsi="Palatino Linotype"/>
          <w:i/>
          <w:sz w:val="22"/>
          <w:szCs w:val="22"/>
        </w:rPr>
        <w:t xml:space="preserve"> aunque las violaciones reclamadas sean diversas; figura que no sólo se actualiza cuando en la sentencia se haya resuelto sobre la constitucionalidad o inconstitucionalidad de los actos reclamados, sino también cuando se ha determinado su </w:t>
      </w:r>
      <w:proofErr w:type="spellStart"/>
      <w:r>
        <w:rPr>
          <w:rFonts w:ascii="Palatino Linotype" w:hAnsi="Palatino Linotype"/>
          <w:i/>
          <w:sz w:val="22"/>
          <w:szCs w:val="22"/>
        </w:rPr>
        <w:t>inatacabilidad</w:t>
      </w:r>
      <w:proofErr w:type="spellEnd"/>
      <w:r>
        <w:rPr>
          <w:rFonts w:ascii="Palatino Linotype" w:hAnsi="Palatino Linotype"/>
          <w:i/>
          <w:sz w:val="22"/>
          <w:szCs w:val="22"/>
        </w:rPr>
        <w:t xml:space="preserve"> a través de un diverso juicio constitucional, siempre que tal determinación se haya realizado en atención a razones o circunstancias que hagan </w:t>
      </w:r>
      <w:proofErr w:type="spellStart"/>
      <w:r>
        <w:rPr>
          <w:rFonts w:ascii="Palatino Linotype" w:hAnsi="Palatino Linotype"/>
          <w:i/>
          <w:sz w:val="22"/>
          <w:szCs w:val="22"/>
        </w:rPr>
        <w:t>inejercitable</w:t>
      </w:r>
      <w:proofErr w:type="spellEnd"/>
      <w:r>
        <w:rPr>
          <w:rFonts w:ascii="Palatino Linotype" w:hAnsi="Palatino Linotype"/>
          <w:i/>
          <w:sz w:val="22"/>
          <w:szCs w:val="22"/>
        </w:rPr>
        <w:t xml:space="preserve"> la acción de amparo de modo absoluto, con independencia del juicio en que se haya efectuado, pues esta situación no puede desconocerse en un nuevo juicio constitucional; lo que es compatible con la garantía de seguridad jurídica, pues el propósito de la figura de la cosa juzgada es revelar las condiciones terminantes en que habrá de concluir un asunto jurisdiccional, con lo que se dotará de certeza jurídica a la decisión definitiva asumida y a los intervinientes en el juicio respecto de las consecuencias derivadas del caso, toda vez que el respeto a la decisión judicial constituye un pilar del estado de derecho como fin último de la impartición de justicia.</w:t>
      </w:r>
    </w:p>
    <w:p w:rsidR="005E664F" w:rsidRDefault="005E664F" w:rsidP="005E664F">
      <w:pPr>
        <w:spacing w:before="120" w:after="120" w:line="276" w:lineRule="auto"/>
        <w:ind w:left="709" w:right="709"/>
        <w:jc w:val="both"/>
        <w:rPr>
          <w:rFonts w:ascii="Palatino Linotype" w:hAnsi="Palatino Linotype"/>
          <w:sz w:val="22"/>
          <w:szCs w:val="22"/>
        </w:rPr>
      </w:pPr>
      <w:r>
        <w:rPr>
          <w:rFonts w:ascii="Palatino Linotype" w:hAnsi="Palatino Linotype"/>
          <w:sz w:val="22"/>
          <w:szCs w:val="22"/>
        </w:rPr>
        <w:t>(Énfasis añadido)</w:t>
      </w:r>
    </w:p>
    <w:p w:rsidR="00D07727" w:rsidRPr="00E91339" w:rsidRDefault="00D07727" w:rsidP="00071361">
      <w:pPr>
        <w:spacing w:before="100" w:beforeAutospacing="1" w:after="100" w:afterAutospacing="1" w:line="360" w:lineRule="auto"/>
        <w:jc w:val="both"/>
        <w:rPr>
          <w:rFonts w:ascii="Palatino Linotype" w:hAnsi="Palatino Linotype" w:cs="Arial"/>
        </w:rPr>
      </w:pPr>
      <w:r w:rsidRPr="00E91339">
        <w:rPr>
          <w:rFonts w:ascii="Palatino Linotype" w:hAnsi="Palatino Linotype" w:cs="Arial"/>
        </w:rPr>
        <w:t xml:space="preserve">Es por lo anteriormente expuesto que, la que suscribe </w:t>
      </w:r>
      <w:r w:rsidRPr="00E91339">
        <w:rPr>
          <w:rFonts w:ascii="Palatino Linotype" w:hAnsi="Palatino Linotype" w:cs="Arial"/>
          <w:lang w:eastAsia="es-MX"/>
        </w:rPr>
        <w:t xml:space="preserve">emite </w:t>
      </w:r>
      <w:r w:rsidRPr="00E91339">
        <w:rPr>
          <w:rFonts w:ascii="Palatino Linotype" w:hAnsi="Palatino Linotype" w:cs="Arial"/>
          <w:b/>
          <w:lang w:eastAsia="es-MX"/>
        </w:rPr>
        <w:t xml:space="preserve">VOTO PARTICULAR </w:t>
      </w:r>
      <w:r w:rsidRPr="00E91339">
        <w:rPr>
          <w:rFonts w:ascii="Palatino Linotype" w:hAnsi="Palatino Linotype" w:cs="Arial"/>
          <w:lang w:eastAsia="es-MX"/>
        </w:rPr>
        <w:t xml:space="preserve">a fin de precisar que lo procedente era </w:t>
      </w:r>
      <w:r w:rsidRPr="00E91339">
        <w:rPr>
          <w:rFonts w:ascii="Palatino Linotype" w:hAnsi="Palatino Linotype" w:cs="Arial"/>
          <w:b/>
        </w:rPr>
        <w:t>sobreseer</w:t>
      </w:r>
      <w:r w:rsidR="0045261E">
        <w:rPr>
          <w:rFonts w:ascii="Palatino Linotype" w:hAnsi="Palatino Linotype" w:cs="Arial"/>
          <w:lang w:eastAsia="es-MX"/>
        </w:rPr>
        <w:t xml:space="preserve"> </w:t>
      </w:r>
      <w:r w:rsidR="00EC1708">
        <w:rPr>
          <w:rFonts w:ascii="Palatino Linotype" w:hAnsi="Palatino Linotype" w:cs="Arial"/>
          <w:lang w:eastAsia="es-MX"/>
        </w:rPr>
        <w:t>el</w:t>
      </w:r>
      <w:r w:rsidRPr="00E91339">
        <w:rPr>
          <w:rFonts w:ascii="Palatino Linotype" w:hAnsi="Palatino Linotype" w:cs="Arial"/>
          <w:lang w:eastAsia="es-MX"/>
        </w:rPr>
        <w:t xml:space="preserve"> recurso de revisión de mérito con </w:t>
      </w:r>
      <w:r w:rsidRPr="00E91339">
        <w:rPr>
          <w:rFonts w:ascii="Palatino Linotype" w:hAnsi="Palatino Linotype" w:cs="Arial"/>
          <w:lang w:eastAsia="es-MX"/>
        </w:rPr>
        <w:lastRenderedPageBreak/>
        <w:t>fundamento en el numeral 192</w:t>
      </w:r>
      <w:r w:rsidR="00EC1708">
        <w:rPr>
          <w:rFonts w:ascii="Palatino Linotype" w:hAnsi="Palatino Linotype" w:cs="Arial"/>
          <w:lang w:eastAsia="es-MX"/>
        </w:rPr>
        <w:t>, fracción V</w:t>
      </w:r>
      <w:r w:rsidRPr="00E91339">
        <w:rPr>
          <w:rFonts w:ascii="Palatino Linotype" w:hAnsi="Palatino Linotype" w:cs="Arial"/>
          <w:lang w:eastAsia="es-MX"/>
        </w:rPr>
        <w:t xml:space="preserve"> de la Ley de Transparencia y Acceso a la Información Pública del Estado de México, </w:t>
      </w:r>
      <w:r w:rsidR="00AF5293">
        <w:rPr>
          <w:rFonts w:ascii="Palatino Linotype" w:hAnsi="Palatino Linotype" w:cs="Arial"/>
          <w:lang w:eastAsia="es-MX"/>
        </w:rPr>
        <w:t>dejando sin materia el medio de impugnación de que se trata</w:t>
      </w:r>
      <w:r w:rsidR="005E664F">
        <w:rPr>
          <w:rFonts w:ascii="Palatino Linotype" w:hAnsi="Palatino Linotype" w:cs="Arial"/>
          <w:lang w:eastAsia="es-MX"/>
        </w:rPr>
        <w:t xml:space="preserve"> pues ya hubo con anterioridad pronunciamiento de este Pleno al respecto. </w:t>
      </w:r>
    </w:p>
    <w:tbl>
      <w:tblPr>
        <w:tblW w:w="4393" w:type="dxa"/>
        <w:jc w:val="center"/>
        <w:tblLayout w:type="fixed"/>
        <w:tblLook w:val="04A0" w:firstRow="1" w:lastRow="0" w:firstColumn="1" w:lastColumn="0" w:noHBand="0" w:noVBand="1"/>
      </w:tblPr>
      <w:tblGrid>
        <w:gridCol w:w="4393"/>
      </w:tblGrid>
      <w:tr w:rsidR="00D07727" w:rsidRPr="00E91339" w:rsidTr="00AD2129">
        <w:trPr>
          <w:jc w:val="center"/>
        </w:trPr>
        <w:tc>
          <w:tcPr>
            <w:tcW w:w="4393" w:type="dxa"/>
          </w:tcPr>
          <w:p w:rsidR="00AF5293" w:rsidRDefault="00AF5293" w:rsidP="00071361">
            <w:pPr>
              <w:jc w:val="center"/>
              <w:rPr>
                <w:rFonts w:ascii="Palatino Linotype" w:hAnsi="Palatino Linotype"/>
                <w:b/>
              </w:rPr>
            </w:pPr>
          </w:p>
          <w:p w:rsidR="007779AF" w:rsidRDefault="007779AF" w:rsidP="00071361">
            <w:pPr>
              <w:jc w:val="center"/>
              <w:rPr>
                <w:rFonts w:ascii="Palatino Linotype" w:hAnsi="Palatino Linotype"/>
                <w:b/>
              </w:rPr>
            </w:pPr>
          </w:p>
          <w:p w:rsidR="007779AF" w:rsidRDefault="007779AF" w:rsidP="00071361">
            <w:pPr>
              <w:jc w:val="center"/>
              <w:rPr>
                <w:rFonts w:ascii="Palatino Linotype" w:hAnsi="Palatino Linotype"/>
                <w:b/>
              </w:rPr>
            </w:pPr>
          </w:p>
          <w:p w:rsidR="007779AF" w:rsidRDefault="007779AF" w:rsidP="00071361">
            <w:pPr>
              <w:jc w:val="center"/>
              <w:rPr>
                <w:rFonts w:ascii="Palatino Linotype" w:hAnsi="Palatino Linotype"/>
                <w:b/>
              </w:rPr>
            </w:pPr>
          </w:p>
          <w:p w:rsidR="007779AF" w:rsidRDefault="007779AF" w:rsidP="00071361">
            <w:pPr>
              <w:jc w:val="center"/>
              <w:rPr>
                <w:rFonts w:ascii="Palatino Linotype" w:hAnsi="Palatino Linotype"/>
                <w:b/>
              </w:rPr>
            </w:pPr>
          </w:p>
          <w:p w:rsidR="007779AF" w:rsidRDefault="007779AF" w:rsidP="00071361">
            <w:pPr>
              <w:jc w:val="center"/>
              <w:rPr>
                <w:rFonts w:ascii="Palatino Linotype" w:hAnsi="Palatino Linotype"/>
                <w:b/>
              </w:rPr>
            </w:pPr>
          </w:p>
          <w:p w:rsidR="007779AF" w:rsidRDefault="007779AF" w:rsidP="00071361">
            <w:pPr>
              <w:jc w:val="center"/>
              <w:rPr>
                <w:rFonts w:ascii="Palatino Linotype" w:hAnsi="Palatino Linotype"/>
                <w:b/>
              </w:rPr>
            </w:pPr>
          </w:p>
          <w:p w:rsidR="007779AF" w:rsidRDefault="007779AF" w:rsidP="00071361">
            <w:pPr>
              <w:jc w:val="center"/>
              <w:rPr>
                <w:rFonts w:ascii="Palatino Linotype" w:hAnsi="Palatino Linotype"/>
                <w:b/>
              </w:rPr>
            </w:pPr>
          </w:p>
          <w:p w:rsidR="007779AF" w:rsidRDefault="007779AF" w:rsidP="00071361">
            <w:pPr>
              <w:jc w:val="center"/>
              <w:rPr>
                <w:rFonts w:ascii="Palatino Linotype" w:hAnsi="Palatino Linotype"/>
                <w:b/>
              </w:rPr>
            </w:pPr>
          </w:p>
          <w:p w:rsidR="007779AF" w:rsidRDefault="007779AF" w:rsidP="00071361">
            <w:pPr>
              <w:jc w:val="center"/>
              <w:rPr>
                <w:rFonts w:ascii="Palatino Linotype" w:hAnsi="Palatino Linotype"/>
                <w:b/>
              </w:rPr>
            </w:pPr>
          </w:p>
          <w:p w:rsidR="009D24F8" w:rsidRDefault="009D24F8" w:rsidP="00071361">
            <w:pPr>
              <w:jc w:val="center"/>
              <w:rPr>
                <w:rFonts w:ascii="Palatino Linotype" w:hAnsi="Palatino Linotype"/>
                <w:b/>
              </w:rPr>
            </w:pPr>
          </w:p>
          <w:p w:rsidR="007779AF" w:rsidRDefault="007779AF" w:rsidP="00071361">
            <w:pPr>
              <w:jc w:val="center"/>
              <w:rPr>
                <w:rFonts w:ascii="Palatino Linotype" w:hAnsi="Palatino Linotype"/>
                <w:b/>
              </w:rPr>
            </w:pPr>
          </w:p>
          <w:p w:rsidR="00D07727" w:rsidRPr="00E91339" w:rsidRDefault="00D07727" w:rsidP="00071361">
            <w:pPr>
              <w:jc w:val="center"/>
              <w:rPr>
                <w:rFonts w:ascii="Palatino Linotype" w:hAnsi="Palatino Linotype"/>
                <w:b/>
              </w:rPr>
            </w:pPr>
            <w:r w:rsidRPr="00E91339">
              <w:rPr>
                <w:rFonts w:ascii="Palatino Linotype" w:hAnsi="Palatino Linotype"/>
                <w:b/>
              </w:rPr>
              <w:t>EVA ABAID YAPUR</w:t>
            </w:r>
          </w:p>
          <w:p w:rsidR="00D07727" w:rsidRDefault="00D07727" w:rsidP="009D24F8">
            <w:pPr>
              <w:jc w:val="center"/>
              <w:rPr>
                <w:rFonts w:ascii="Palatino Linotype" w:hAnsi="Palatino Linotype"/>
                <w:b/>
              </w:rPr>
            </w:pPr>
            <w:r w:rsidRPr="00E91339">
              <w:rPr>
                <w:rFonts w:ascii="Palatino Linotype" w:hAnsi="Palatino Linotype"/>
                <w:b/>
              </w:rPr>
              <w:t>COMISIONADA</w:t>
            </w:r>
          </w:p>
          <w:p w:rsidR="005F4574" w:rsidRPr="00E91339" w:rsidRDefault="005F4574" w:rsidP="009D24F8">
            <w:pPr>
              <w:jc w:val="center"/>
              <w:rPr>
                <w:rFonts w:ascii="Palatino Linotype" w:hAnsi="Palatino Linotype"/>
                <w:b/>
              </w:rPr>
            </w:pPr>
            <w:r>
              <w:rPr>
                <w:rFonts w:ascii="Palatino Linotype" w:hAnsi="Palatino Linotype"/>
                <w:b/>
              </w:rPr>
              <w:t>(RÚBRICA)</w:t>
            </w:r>
            <w:bookmarkStart w:id="0" w:name="_GoBack"/>
            <w:bookmarkEnd w:id="0"/>
          </w:p>
        </w:tc>
      </w:tr>
    </w:tbl>
    <w:p w:rsidR="008E19C7" w:rsidRPr="008E19C7" w:rsidRDefault="008E19C7" w:rsidP="0061464B">
      <w:pPr>
        <w:jc w:val="both"/>
        <w:rPr>
          <w:rFonts w:ascii="Palatino Linotype" w:eastAsia="Calibri" w:hAnsi="Palatino Linotype" w:cs="Arial"/>
          <w:color w:val="000000" w:themeColor="text1"/>
          <w:sz w:val="6"/>
        </w:rPr>
      </w:pPr>
    </w:p>
    <w:p w:rsidR="007779AF" w:rsidRDefault="007779AF" w:rsidP="0061464B">
      <w:pPr>
        <w:jc w:val="both"/>
        <w:rPr>
          <w:rFonts w:ascii="Palatino Linotype" w:eastAsia="Calibri" w:hAnsi="Palatino Linotype" w:cs="Arial"/>
          <w:color w:val="000000" w:themeColor="text1"/>
          <w:sz w:val="18"/>
        </w:rPr>
      </w:pPr>
    </w:p>
    <w:p w:rsidR="007779AF" w:rsidRDefault="007779AF" w:rsidP="0061464B">
      <w:pPr>
        <w:jc w:val="both"/>
        <w:rPr>
          <w:rFonts w:ascii="Palatino Linotype" w:eastAsia="Calibri" w:hAnsi="Palatino Linotype" w:cs="Arial"/>
          <w:color w:val="000000" w:themeColor="text1"/>
          <w:sz w:val="18"/>
        </w:rPr>
      </w:pPr>
    </w:p>
    <w:p w:rsidR="007779AF" w:rsidRDefault="007779AF" w:rsidP="0061464B">
      <w:pPr>
        <w:jc w:val="both"/>
        <w:rPr>
          <w:rFonts w:ascii="Palatino Linotype" w:eastAsia="Calibri" w:hAnsi="Palatino Linotype" w:cs="Arial"/>
          <w:color w:val="000000" w:themeColor="text1"/>
          <w:sz w:val="18"/>
        </w:rPr>
      </w:pPr>
    </w:p>
    <w:p w:rsidR="007779AF" w:rsidRDefault="007779AF" w:rsidP="0061464B">
      <w:pPr>
        <w:jc w:val="both"/>
        <w:rPr>
          <w:rFonts w:ascii="Palatino Linotype" w:eastAsia="Calibri" w:hAnsi="Palatino Linotype" w:cs="Arial"/>
          <w:color w:val="000000" w:themeColor="text1"/>
          <w:sz w:val="18"/>
        </w:rPr>
      </w:pPr>
    </w:p>
    <w:p w:rsidR="007779AF" w:rsidRDefault="007779AF" w:rsidP="0061464B">
      <w:pPr>
        <w:jc w:val="both"/>
        <w:rPr>
          <w:rFonts w:ascii="Palatino Linotype" w:eastAsia="Calibri" w:hAnsi="Palatino Linotype" w:cs="Arial"/>
          <w:color w:val="000000" w:themeColor="text1"/>
          <w:sz w:val="18"/>
        </w:rPr>
      </w:pPr>
    </w:p>
    <w:p w:rsidR="007779AF" w:rsidRDefault="007779AF" w:rsidP="0061464B">
      <w:pPr>
        <w:jc w:val="both"/>
        <w:rPr>
          <w:rFonts w:ascii="Palatino Linotype" w:eastAsia="Calibri" w:hAnsi="Palatino Linotype" w:cs="Arial"/>
          <w:color w:val="000000" w:themeColor="text1"/>
          <w:sz w:val="18"/>
        </w:rPr>
      </w:pPr>
    </w:p>
    <w:p w:rsidR="007779AF" w:rsidRDefault="007779AF" w:rsidP="0061464B">
      <w:pPr>
        <w:jc w:val="both"/>
        <w:rPr>
          <w:rFonts w:ascii="Palatino Linotype" w:eastAsia="Calibri" w:hAnsi="Palatino Linotype" w:cs="Arial"/>
          <w:color w:val="000000" w:themeColor="text1"/>
          <w:sz w:val="18"/>
        </w:rPr>
      </w:pPr>
    </w:p>
    <w:p w:rsidR="007779AF" w:rsidRDefault="007779AF" w:rsidP="0061464B">
      <w:pPr>
        <w:jc w:val="both"/>
        <w:rPr>
          <w:rFonts w:ascii="Palatino Linotype" w:eastAsia="Calibri" w:hAnsi="Palatino Linotype" w:cs="Arial"/>
          <w:color w:val="000000" w:themeColor="text1"/>
          <w:sz w:val="18"/>
        </w:rPr>
      </w:pPr>
    </w:p>
    <w:p w:rsidR="007779AF" w:rsidRDefault="007779AF" w:rsidP="0061464B">
      <w:pPr>
        <w:jc w:val="both"/>
        <w:rPr>
          <w:rFonts w:ascii="Palatino Linotype" w:eastAsia="Calibri" w:hAnsi="Palatino Linotype" w:cs="Arial"/>
          <w:color w:val="000000" w:themeColor="text1"/>
          <w:sz w:val="18"/>
        </w:rPr>
      </w:pPr>
    </w:p>
    <w:p w:rsidR="00D07727" w:rsidRDefault="00D07727" w:rsidP="0061464B">
      <w:pPr>
        <w:jc w:val="both"/>
        <w:rPr>
          <w:rFonts w:ascii="Palatino Linotype" w:eastAsia="Calibri" w:hAnsi="Palatino Linotype" w:cs="Arial"/>
          <w:color w:val="000000" w:themeColor="text1"/>
          <w:sz w:val="20"/>
        </w:rPr>
      </w:pPr>
      <w:r w:rsidRPr="001E6953">
        <w:rPr>
          <w:rFonts w:ascii="Palatino Linotype" w:eastAsia="Calibri" w:hAnsi="Palatino Linotype" w:cs="Arial"/>
          <w:color w:val="000000" w:themeColor="text1"/>
          <w:sz w:val="20"/>
        </w:rPr>
        <w:t xml:space="preserve">Esta hoja corresponde al voto particular emitido en </w:t>
      </w:r>
      <w:r w:rsidR="00EC1708" w:rsidRPr="001E6953">
        <w:rPr>
          <w:rFonts w:ascii="Palatino Linotype" w:eastAsia="Calibri" w:hAnsi="Palatino Linotype" w:cs="Arial"/>
          <w:color w:val="000000" w:themeColor="text1"/>
          <w:sz w:val="20"/>
        </w:rPr>
        <w:t>la resolución del</w:t>
      </w:r>
      <w:r w:rsidR="0061464B" w:rsidRPr="001E6953">
        <w:rPr>
          <w:rFonts w:ascii="Palatino Linotype" w:eastAsia="Calibri" w:hAnsi="Palatino Linotype" w:cs="Arial"/>
          <w:color w:val="000000" w:themeColor="text1"/>
          <w:sz w:val="20"/>
        </w:rPr>
        <w:t xml:space="preserve"> </w:t>
      </w:r>
      <w:r w:rsidRPr="001E6953">
        <w:rPr>
          <w:rFonts w:ascii="Palatino Linotype" w:eastAsia="Calibri" w:hAnsi="Palatino Linotype" w:cs="Arial"/>
          <w:color w:val="000000" w:themeColor="text1"/>
          <w:sz w:val="20"/>
        </w:rPr>
        <w:t>recurso de revisión 0</w:t>
      </w:r>
      <w:r w:rsidR="005E664F">
        <w:rPr>
          <w:rFonts w:ascii="Palatino Linotype" w:eastAsia="Calibri" w:hAnsi="Palatino Linotype" w:cs="Arial"/>
          <w:color w:val="000000" w:themeColor="text1"/>
          <w:sz w:val="20"/>
        </w:rPr>
        <w:t>3684</w:t>
      </w:r>
      <w:r w:rsidR="004F5754" w:rsidRPr="001E6953">
        <w:rPr>
          <w:rFonts w:ascii="Palatino Linotype" w:eastAsia="Calibri" w:hAnsi="Palatino Linotype" w:cs="Arial"/>
          <w:color w:val="000000" w:themeColor="text1"/>
          <w:sz w:val="20"/>
        </w:rPr>
        <w:t>/</w:t>
      </w:r>
      <w:r w:rsidRPr="001E6953">
        <w:rPr>
          <w:rFonts w:ascii="Palatino Linotype" w:eastAsia="Calibri" w:hAnsi="Palatino Linotype" w:cs="Arial"/>
          <w:color w:val="000000" w:themeColor="text1"/>
          <w:sz w:val="20"/>
        </w:rPr>
        <w:t>INFOEM/IP/RR/201</w:t>
      </w:r>
      <w:r w:rsidR="00812082" w:rsidRPr="001E6953">
        <w:rPr>
          <w:rFonts w:ascii="Palatino Linotype" w:eastAsia="Calibri" w:hAnsi="Palatino Linotype" w:cs="Arial"/>
          <w:color w:val="000000" w:themeColor="text1"/>
          <w:sz w:val="20"/>
        </w:rPr>
        <w:t>8</w:t>
      </w:r>
      <w:r w:rsidR="00257E58" w:rsidRPr="001E6953">
        <w:rPr>
          <w:rFonts w:ascii="Palatino Linotype" w:eastAsia="Calibri" w:hAnsi="Palatino Linotype" w:cs="Arial"/>
          <w:color w:val="000000" w:themeColor="text1"/>
          <w:sz w:val="20"/>
        </w:rPr>
        <w:t>, aprobad</w:t>
      </w:r>
      <w:r w:rsidR="009D24F8">
        <w:rPr>
          <w:rFonts w:ascii="Palatino Linotype" w:eastAsia="Calibri" w:hAnsi="Palatino Linotype" w:cs="Arial"/>
          <w:color w:val="000000" w:themeColor="text1"/>
          <w:sz w:val="20"/>
        </w:rPr>
        <w:t>a</w:t>
      </w:r>
      <w:r w:rsidRPr="001E6953">
        <w:rPr>
          <w:rFonts w:ascii="Palatino Linotype" w:eastAsia="Calibri" w:hAnsi="Palatino Linotype" w:cs="Arial"/>
          <w:color w:val="000000" w:themeColor="text1"/>
          <w:sz w:val="20"/>
        </w:rPr>
        <w:t xml:space="preserve"> el </w:t>
      </w:r>
      <w:r w:rsidR="005E664F">
        <w:rPr>
          <w:rFonts w:ascii="Palatino Linotype" w:eastAsia="Calibri" w:hAnsi="Palatino Linotype" w:cs="Arial"/>
          <w:color w:val="000000" w:themeColor="text1"/>
          <w:sz w:val="20"/>
        </w:rPr>
        <w:t xml:space="preserve">veintidós </w:t>
      </w:r>
      <w:r w:rsidR="004F5754" w:rsidRPr="001E6953">
        <w:rPr>
          <w:rFonts w:ascii="Palatino Linotype" w:eastAsia="Calibri" w:hAnsi="Palatino Linotype" w:cs="Arial"/>
          <w:color w:val="000000" w:themeColor="text1"/>
          <w:sz w:val="20"/>
        </w:rPr>
        <w:t xml:space="preserve">de </w:t>
      </w:r>
      <w:r w:rsidR="005E664F">
        <w:rPr>
          <w:rFonts w:ascii="Palatino Linotype" w:eastAsia="Calibri" w:hAnsi="Palatino Linotype" w:cs="Arial"/>
          <w:color w:val="000000" w:themeColor="text1"/>
          <w:sz w:val="20"/>
        </w:rPr>
        <w:t>noviembre</w:t>
      </w:r>
      <w:r w:rsidR="00EC1708" w:rsidRPr="001E6953">
        <w:rPr>
          <w:rFonts w:ascii="Palatino Linotype" w:eastAsia="Calibri" w:hAnsi="Palatino Linotype" w:cs="Arial"/>
          <w:color w:val="000000" w:themeColor="text1"/>
          <w:sz w:val="20"/>
        </w:rPr>
        <w:t xml:space="preserve"> </w:t>
      </w:r>
      <w:r w:rsidRPr="001E6953">
        <w:rPr>
          <w:rFonts w:ascii="Palatino Linotype" w:eastAsia="Calibri" w:hAnsi="Palatino Linotype" w:cs="Arial"/>
          <w:color w:val="000000" w:themeColor="text1"/>
          <w:sz w:val="20"/>
        </w:rPr>
        <w:t xml:space="preserve">de dos mil dieciocho. </w:t>
      </w:r>
    </w:p>
    <w:p w:rsidR="00123874" w:rsidRPr="00123874" w:rsidRDefault="00123874" w:rsidP="0061464B">
      <w:pPr>
        <w:jc w:val="both"/>
        <w:rPr>
          <w:rFonts w:ascii="Palatino Linotype" w:eastAsia="Calibri" w:hAnsi="Palatino Linotype" w:cs="Arial"/>
          <w:color w:val="000000" w:themeColor="text1"/>
          <w:sz w:val="6"/>
        </w:rPr>
      </w:pPr>
    </w:p>
    <w:p w:rsidR="00257E58" w:rsidRPr="001E6953" w:rsidRDefault="0061464B" w:rsidP="0061464B">
      <w:pPr>
        <w:jc w:val="both"/>
        <w:rPr>
          <w:rFonts w:ascii="Palatino Linotype" w:eastAsia="Calibri" w:hAnsi="Palatino Linotype" w:cs="Arial"/>
          <w:color w:val="000000" w:themeColor="text1"/>
          <w:sz w:val="20"/>
        </w:rPr>
      </w:pPr>
      <w:r w:rsidRPr="001E6953">
        <w:rPr>
          <w:rFonts w:ascii="Palatino Linotype" w:eastAsia="Calibri" w:hAnsi="Palatino Linotype" w:cs="Arial"/>
          <w:color w:val="000000" w:themeColor="text1"/>
          <w:sz w:val="20"/>
        </w:rPr>
        <w:t>YSM/</w:t>
      </w:r>
      <w:r w:rsidR="00257E58" w:rsidRPr="001E6953">
        <w:rPr>
          <w:rFonts w:ascii="Palatino Linotype" w:eastAsia="Calibri" w:hAnsi="Palatino Linotype" w:cs="Arial"/>
          <w:color w:val="000000" w:themeColor="text1"/>
          <w:sz w:val="20"/>
        </w:rPr>
        <w:t>IAHA</w:t>
      </w:r>
    </w:p>
    <w:sectPr w:rsidR="00257E58" w:rsidRPr="001E6953" w:rsidSect="00EA6182">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7D71" w:rsidRDefault="00BB7D71" w:rsidP="00D07727">
      <w:r>
        <w:separator/>
      </w:r>
    </w:p>
  </w:endnote>
  <w:endnote w:type="continuationSeparator" w:id="0">
    <w:p w:rsidR="00BB7D71" w:rsidRDefault="00BB7D71" w:rsidP="00D0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9C7" w:rsidRDefault="008E19C7" w:rsidP="003056D9">
    <w:pPr>
      <w:pStyle w:val="Piedepgina"/>
      <w:tabs>
        <w:tab w:val="clear" w:pos="4252"/>
        <w:tab w:val="left" w:pos="4228"/>
      </w:tabs>
      <w:rPr>
        <w:rFonts w:ascii="Palatino Linotype" w:hAnsi="Palatino Linotype" w:cs="Arial"/>
        <w:b/>
        <w:bCs/>
        <w:sz w:val="20"/>
        <w:szCs w:val="20"/>
      </w:rPr>
    </w:pPr>
  </w:p>
  <w:p w:rsidR="003056D9" w:rsidRDefault="005F4574" w:rsidP="003056D9">
    <w:pPr>
      <w:pStyle w:val="Piedepgina"/>
      <w:tabs>
        <w:tab w:val="clear" w:pos="4252"/>
        <w:tab w:val="left" w:pos="4228"/>
      </w:tabs>
      <w:rPr>
        <w:rFonts w:ascii="Palatino Linotype" w:hAnsi="Palatino Linotype" w:cs="Arial"/>
        <w:b/>
        <w:bCs/>
        <w:sz w:val="20"/>
        <w:szCs w:val="20"/>
      </w:rPr>
    </w:pPr>
  </w:p>
  <w:p w:rsidR="003056D9" w:rsidRDefault="005F4574" w:rsidP="003056D9">
    <w:pPr>
      <w:pStyle w:val="Piedepgina"/>
      <w:tabs>
        <w:tab w:val="clear" w:pos="4252"/>
        <w:tab w:val="left" w:pos="4228"/>
      </w:tabs>
      <w:rPr>
        <w:rFonts w:ascii="Palatino Linotype" w:hAnsi="Palatino Linotype" w:cs="Arial"/>
        <w:b/>
        <w:bCs/>
        <w:sz w:val="20"/>
        <w:szCs w:val="20"/>
      </w:rPr>
    </w:pPr>
  </w:p>
  <w:p w:rsidR="00455CB3" w:rsidRDefault="00AF5293" w:rsidP="00AF5293">
    <w:pPr>
      <w:pStyle w:val="Piedepgina"/>
      <w:tabs>
        <w:tab w:val="clear" w:pos="4252"/>
        <w:tab w:val="clear" w:pos="8504"/>
        <w:tab w:val="left" w:pos="2550"/>
      </w:tabs>
      <w:rPr>
        <w:rFonts w:ascii="Palatino Linotype" w:hAnsi="Palatino Linotype" w:cs="Arial"/>
        <w:b/>
        <w:bCs/>
        <w:sz w:val="20"/>
        <w:szCs w:val="20"/>
      </w:rPr>
    </w:pPr>
    <w:r>
      <w:rPr>
        <w:rFonts w:ascii="Palatino Linotype" w:hAnsi="Palatino Linotype" w:cs="Arial"/>
        <w:b/>
        <w:bCs/>
        <w:sz w:val="20"/>
        <w:szCs w:val="20"/>
      </w:rPr>
      <w:tab/>
    </w:r>
  </w:p>
  <w:p w:rsidR="003056D9" w:rsidRPr="00F12350" w:rsidRDefault="001E3624"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F4574">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F4574">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6F30F8" w:rsidRDefault="005F4574"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7D71" w:rsidRDefault="00BB7D71" w:rsidP="00D07727">
      <w:r>
        <w:separator/>
      </w:r>
    </w:p>
  </w:footnote>
  <w:footnote w:type="continuationSeparator" w:id="0">
    <w:p w:rsidR="00BB7D71" w:rsidRDefault="00BB7D71" w:rsidP="00D07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F457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6192;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1E3624"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34EC692A" wp14:editId="6C8B51E3">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746661" w:rsidRDefault="005F4574" w:rsidP="0034309A">
    <w:pPr>
      <w:pStyle w:val="Encabezado"/>
      <w:tabs>
        <w:tab w:val="clear" w:pos="4252"/>
        <w:tab w:val="clear" w:pos="8504"/>
        <w:tab w:val="left" w:pos="2326"/>
      </w:tabs>
      <w:jc w:val="right"/>
      <w:rPr>
        <w:rFonts w:ascii="Palatino Linotype" w:hAnsi="Palatino Linotype" w:cs="Arial"/>
        <w:sz w:val="20"/>
        <w:szCs w:val="20"/>
      </w:rPr>
    </w:pPr>
  </w:p>
  <w:p w:rsidR="00746661" w:rsidRDefault="005F4574" w:rsidP="0034309A">
    <w:pPr>
      <w:pStyle w:val="Encabezado"/>
      <w:tabs>
        <w:tab w:val="clear" w:pos="4252"/>
        <w:tab w:val="clear" w:pos="8504"/>
        <w:tab w:val="left" w:pos="2326"/>
      </w:tabs>
      <w:jc w:val="right"/>
      <w:rPr>
        <w:rFonts w:ascii="Palatino Linotype" w:hAnsi="Palatino Linotype" w:cs="Arial"/>
        <w:sz w:val="20"/>
        <w:szCs w:val="20"/>
      </w:rPr>
    </w:pPr>
  </w:p>
  <w:p w:rsidR="00071361" w:rsidRDefault="00A617A4" w:rsidP="00071361">
    <w:pPr>
      <w:pStyle w:val="Encabezado"/>
      <w:tabs>
        <w:tab w:val="clear" w:pos="4252"/>
        <w:tab w:val="clear" w:pos="8504"/>
        <w:tab w:val="left" w:pos="2326"/>
      </w:tabs>
      <w:jc w:val="right"/>
      <w:rPr>
        <w:rFonts w:ascii="Palatino Linotype" w:hAnsi="Palatino Linotype" w:cs="Arial"/>
        <w:sz w:val="20"/>
        <w:szCs w:val="20"/>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E04B17" w:rsidRDefault="00A617A4"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Pr>
        <w:rFonts w:ascii="Palatino Linotype" w:hAnsi="Palatino Linotype" w:cs="Arial"/>
        <w:sz w:val="20"/>
        <w:szCs w:val="20"/>
      </w:rPr>
      <w:t xml:space="preserve"> </w:t>
    </w:r>
    <w:r w:rsidRPr="00706042">
      <w:rPr>
        <w:rFonts w:ascii="Palatino Linotype" w:hAnsi="Palatino Linotype" w:cs="Arial"/>
        <w:sz w:val="20"/>
        <w:szCs w:val="20"/>
      </w:rPr>
      <w:t xml:space="preserve">DE REVISIÓN </w:t>
    </w:r>
    <w:r w:rsidR="005B42CA">
      <w:rPr>
        <w:rFonts w:ascii="Palatino Linotype" w:hAnsi="Palatino Linotype" w:cs="Arial"/>
        <w:sz w:val="20"/>
        <w:szCs w:val="20"/>
      </w:rPr>
      <w:t>03684</w:t>
    </w:r>
    <w:r>
      <w:rPr>
        <w:rFonts w:ascii="Palatino Linotype" w:hAnsi="Palatino Linotype" w:cs="Arial"/>
        <w:sz w:val="20"/>
        <w:szCs w:val="20"/>
      </w:rPr>
      <w:t>/INFOEM/IP/RR</w:t>
    </w:r>
    <w:r w:rsidRPr="00706042">
      <w:rPr>
        <w:rFonts w:ascii="Palatino Linotype" w:hAnsi="Palatino Linotype" w:cs="Arial"/>
        <w:sz w:val="20"/>
        <w:szCs w:val="20"/>
      </w:rPr>
      <w:t>/201</w:t>
    </w:r>
    <w:r>
      <w:rPr>
        <w:rFonts w:ascii="Palatino Linotype" w:hAnsi="Palatino Linotype" w:cs="Arial"/>
        <w:sz w:val="20"/>
        <w:szCs w:val="20"/>
      </w:rPr>
      <w:t>8</w:t>
    </w:r>
  </w:p>
  <w:p w:rsidR="008E19C7" w:rsidRDefault="005F4574" w:rsidP="0034309A">
    <w:pPr>
      <w:pStyle w:val="Encabezado"/>
      <w:tabs>
        <w:tab w:val="clear" w:pos="4252"/>
        <w:tab w:val="clear" w:pos="8504"/>
        <w:tab w:val="left" w:pos="2326"/>
      </w:tabs>
      <w:jc w:val="right"/>
      <w:rPr>
        <w:rFonts w:ascii="Palatino Linotype" w:hAnsi="Palatino Linotype" w:cs="Arial"/>
        <w:sz w:val="20"/>
        <w:szCs w:val="20"/>
      </w:rPr>
    </w:pPr>
    <w:r>
      <w:rPr>
        <w:rFonts w:ascii="Cambria" w:hAnsi="Cambr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28.95pt;height:80.2pt;rotation:315;z-index:-251655168;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F457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414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16172"/>
    <w:multiLevelType w:val="hybridMultilevel"/>
    <w:tmpl w:val="82CAE9BE"/>
    <w:lvl w:ilvl="0" w:tplc="CDEC5E8E">
      <w:start w:val="1"/>
      <w:numFmt w:val="upperRoman"/>
      <w:lvlText w:val="%1."/>
      <w:lvlJc w:val="left"/>
      <w:pPr>
        <w:ind w:left="1353" w:hanging="360"/>
      </w:pPr>
      <w:rPr>
        <w:rFonts w:hint="default"/>
        <w:b w:val="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 w15:restartNumberingAfterBreak="0">
    <w:nsid w:val="0CE611D0"/>
    <w:multiLevelType w:val="hybridMultilevel"/>
    <w:tmpl w:val="B9629EAE"/>
    <w:lvl w:ilvl="0" w:tplc="628C20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97D42FB"/>
    <w:multiLevelType w:val="hybridMultilevel"/>
    <w:tmpl w:val="C574AFCE"/>
    <w:lvl w:ilvl="0" w:tplc="19E852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2804CA4"/>
    <w:multiLevelType w:val="hybridMultilevel"/>
    <w:tmpl w:val="D7A466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2565AAD"/>
    <w:multiLevelType w:val="hybridMultilevel"/>
    <w:tmpl w:val="34760E94"/>
    <w:lvl w:ilvl="0" w:tplc="833650D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727"/>
    <w:rsid w:val="00002B07"/>
    <w:rsid w:val="00064382"/>
    <w:rsid w:val="00071361"/>
    <w:rsid w:val="000B51A8"/>
    <w:rsid w:val="000C2FFD"/>
    <w:rsid w:val="000C3CB9"/>
    <w:rsid w:val="00123874"/>
    <w:rsid w:val="00151DCB"/>
    <w:rsid w:val="001E3624"/>
    <w:rsid w:val="001E6953"/>
    <w:rsid w:val="00257E58"/>
    <w:rsid w:val="002833D8"/>
    <w:rsid w:val="0032258C"/>
    <w:rsid w:val="0034254E"/>
    <w:rsid w:val="00354BCC"/>
    <w:rsid w:val="003B7D25"/>
    <w:rsid w:val="0045261E"/>
    <w:rsid w:val="004605B4"/>
    <w:rsid w:val="004B157F"/>
    <w:rsid w:val="004F2D0D"/>
    <w:rsid w:val="004F5754"/>
    <w:rsid w:val="00501543"/>
    <w:rsid w:val="00504035"/>
    <w:rsid w:val="0057610F"/>
    <w:rsid w:val="005860A5"/>
    <w:rsid w:val="005B42CA"/>
    <w:rsid w:val="005C42C0"/>
    <w:rsid w:val="005D22FB"/>
    <w:rsid w:val="005E3A50"/>
    <w:rsid w:val="005E3F5F"/>
    <w:rsid w:val="005E5450"/>
    <w:rsid w:val="005E664F"/>
    <w:rsid w:val="005F4574"/>
    <w:rsid w:val="00604F1B"/>
    <w:rsid w:val="0061464B"/>
    <w:rsid w:val="00620028"/>
    <w:rsid w:val="006446DA"/>
    <w:rsid w:val="00667A54"/>
    <w:rsid w:val="006C0315"/>
    <w:rsid w:val="006C126D"/>
    <w:rsid w:val="006C50B1"/>
    <w:rsid w:val="006D0541"/>
    <w:rsid w:val="00740AE8"/>
    <w:rsid w:val="00757442"/>
    <w:rsid w:val="007779AF"/>
    <w:rsid w:val="007D1E1C"/>
    <w:rsid w:val="007D7A9C"/>
    <w:rsid w:val="007F0DFA"/>
    <w:rsid w:val="0080185B"/>
    <w:rsid w:val="00812082"/>
    <w:rsid w:val="00861375"/>
    <w:rsid w:val="008A272F"/>
    <w:rsid w:val="008A7BE6"/>
    <w:rsid w:val="008C7EE3"/>
    <w:rsid w:val="008E19C7"/>
    <w:rsid w:val="00942E5C"/>
    <w:rsid w:val="009437CE"/>
    <w:rsid w:val="0099018F"/>
    <w:rsid w:val="009A5BDE"/>
    <w:rsid w:val="009C6BCE"/>
    <w:rsid w:val="009D24F8"/>
    <w:rsid w:val="009F4560"/>
    <w:rsid w:val="00A12509"/>
    <w:rsid w:val="00A617A4"/>
    <w:rsid w:val="00A90DF2"/>
    <w:rsid w:val="00A96AE2"/>
    <w:rsid w:val="00AA3DF1"/>
    <w:rsid w:val="00AA57F9"/>
    <w:rsid w:val="00AA684A"/>
    <w:rsid w:val="00AB1E36"/>
    <w:rsid w:val="00AB45DE"/>
    <w:rsid w:val="00AD710B"/>
    <w:rsid w:val="00AE5291"/>
    <w:rsid w:val="00AF5293"/>
    <w:rsid w:val="00B119A0"/>
    <w:rsid w:val="00B325F7"/>
    <w:rsid w:val="00B43C85"/>
    <w:rsid w:val="00B47DE9"/>
    <w:rsid w:val="00B9333E"/>
    <w:rsid w:val="00BB7D71"/>
    <w:rsid w:val="00BC5516"/>
    <w:rsid w:val="00BF55D5"/>
    <w:rsid w:val="00C1015F"/>
    <w:rsid w:val="00C23B43"/>
    <w:rsid w:val="00C613C7"/>
    <w:rsid w:val="00C9714C"/>
    <w:rsid w:val="00CB5C07"/>
    <w:rsid w:val="00CF2477"/>
    <w:rsid w:val="00D07727"/>
    <w:rsid w:val="00D1365B"/>
    <w:rsid w:val="00D420DB"/>
    <w:rsid w:val="00D646D1"/>
    <w:rsid w:val="00DD025C"/>
    <w:rsid w:val="00DF6248"/>
    <w:rsid w:val="00E008A9"/>
    <w:rsid w:val="00E04B17"/>
    <w:rsid w:val="00E2547C"/>
    <w:rsid w:val="00E3553E"/>
    <w:rsid w:val="00E6107C"/>
    <w:rsid w:val="00E73E59"/>
    <w:rsid w:val="00E91339"/>
    <w:rsid w:val="00EC1708"/>
    <w:rsid w:val="00F05F5A"/>
    <w:rsid w:val="00F37582"/>
    <w:rsid w:val="00F51093"/>
    <w:rsid w:val="00F7466E"/>
    <w:rsid w:val="00FA5B72"/>
    <w:rsid w:val="00FC17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054B1CB-B311-4BB7-8600-847200F16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72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07727"/>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D07727"/>
    <w:rPr>
      <w:rFonts w:eastAsiaTheme="minorEastAsia"/>
      <w:sz w:val="24"/>
      <w:szCs w:val="24"/>
      <w:lang w:val="es-ES_tradnl" w:eastAsia="es-ES"/>
    </w:rPr>
  </w:style>
  <w:style w:type="paragraph" w:styleId="Piedepgina">
    <w:name w:val="footer"/>
    <w:basedOn w:val="Normal"/>
    <w:link w:val="PiedepginaCar"/>
    <w:uiPriority w:val="99"/>
    <w:unhideWhenUsed/>
    <w:rsid w:val="00D07727"/>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D07727"/>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D07727"/>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0772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4F575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F5754"/>
    <w:rPr>
      <w:rFonts w:ascii="Segoe UI" w:eastAsia="Times New Roman" w:hAnsi="Segoe UI" w:cs="Segoe UI"/>
      <w:sz w:val="18"/>
      <w:szCs w:val="18"/>
      <w:lang w:eastAsia="es-ES"/>
    </w:rPr>
  </w:style>
  <w:style w:type="paragraph" w:styleId="Textoindependiente">
    <w:name w:val="Body Text"/>
    <w:basedOn w:val="Normal"/>
    <w:link w:val="TextoindependienteCar"/>
    <w:unhideWhenUsed/>
    <w:rsid w:val="00757442"/>
    <w:pPr>
      <w:spacing w:after="120"/>
    </w:pPr>
    <w:rPr>
      <w:lang w:val="es-ES"/>
    </w:rPr>
  </w:style>
  <w:style w:type="character" w:customStyle="1" w:styleId="TextoindependienteCar">
    <w:name w:val="Texto independiente Car"/>
    <w:basedOn w:val="Fuentedeprrafopredeter"/>
    <w:link w:val="Textoindependiente"/>
    <w:rsid w:val="00757442"/>
    <w:rPr>
      <w:rFonts w:ascii="Times New Roman" w:eastAsia="Times New Roman" w:hAnsi="Times New Roman" w:cs="Times New Roman"/>
      <w:sz w:val="24"/>
      <w:szCs w:val="24"/>
      <w:lang w:val="es-ES" w:eastAsia="es-ES"/>
    </w:rPr>
  </w:style>
  <w:style w:type="character" w:styleId="Hipervnculo">
    <w:name w:val="Hyperlink"/>
    <w:uiPriority w:val="99"/>
    <w:unhideWhenUsed/>
    <w:rsid w:val="00C613C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182037">
      <w:bodyDiv w:val="1"/>
      <w:marLeft w:val="0"/>
      <w:marRight w:val="0"/>
      <w:marTop w:val="0"/>
      <w:marBottom w:val="0"/>
      <w:divBdr>
        <w:top w:val="none" w:sz="0" w:space="0" w:color="auto"/>
        <w:left w:val="none" w:sz="0" w:space="0" w:color="auto"/>
        <w:bottom w:val="none" w:sz="0" w:space="0" w:color="auto"/>
        <w:right w:val="none" w:sz="0" w:space="0" w:color="auto"/>
      </w:divBdr>
    </w:div>
    <w:div w:id="72942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5</Pages>
  <Words>1094</Words>
  <Characters>6019</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7</cp:revision>
  <cp:lastPrinted>2018-11-27T18:35:00Z</cp:lastPrinted>
  <dcterms:created xsi:type="dcterms:W3CDTF">2018-11-23T19:37:00Z</dcterms:created>
  <dcterms:modified xsi:type="dcterms:W3CDTF">2019-01-11T02:36:00Z</dcterms:modified>
</cp:coreProperties>
</file>